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service_land_compensation_vn</w:t>
      </w:r>
    </w:p>
    <w:p>
      <w:r>
        <w:t xml:space="preserve"> </w:t>
      </w:r>
    </w:p>
    <w:p>
      <w:pPr>
        <w:pStyle w:val="Heading2"/>
      </w:pPr>
      <w:r>
        <w:t>Title</w:t>
      </w:r>
    </w:p>
    <w:p>
      <w:r>
        <w:t>Quasi-experimental mixed-method evaluation of service land as a compensation mechanism for displaced households in Vietnam</w:t>
      </w:r>
    </w:p>
    <w:p>
      <w:r>
        <w:t xml:space="preserve"> </w:t>
      </w:r>
    </w:p>
    <w:p>
      <w:pPr>
        <w:pStyle w:val="Heading2"/>
      </w:pPr>
      <w:r>
        <w:t>Short Hypothesis</w:t>
      </w:r>
    </w:p>
    <w:p>
      <w:r>
        <w:t>Providing displaced households with service land certificates that include independent valuation and a statutory cash top-up causes higher household net asset value twelve months after compensation compared to equivalent-value cash-only compensation.</w:t>
      </w:r>
    </w:p>
    <w:p>
      <w:r>
        <w:t xml:space="preserve"> </w:t>
      </w:r>
    </w:p>
    <w:p>
      <w:pPr>
        <w:pStyle w:val="Heading2"/>
      </w:pPr>
      <w:r>
        <w:t>Related Work</w:t>
      </w:r>
    </w:p>
    <w:p>
      <w:r>
        <w:t>Prior work compares in-kind land compensation and cash compensation, develops valuation methods (discounted cash flow and hedonic models), and documents governance risks such as elite capture and weak cadastral systems. Existing studies emphasize institutional design, grievance mechanisms, and data governance but rarely estimate causal impacts using reproducible quasi-experimental designs in Vietnam. Limitations in current approaches include: lack of causal identification with spatial spillover controls, few standardized valuation templates linking DCF and hedonic models with spatial weights, weak empirical justification for operational thresholds (e.g., cadastral completeness), limited published protocols for anti-capture transaction monitoring, and scarce mixed-method integration tying qualitative evidence to quantitative causal estimates. These gaps prevent clear conclusions about welfare, fiscal costs, and distributional effects of service-land compensation.</w:t>
      </w:r>
    </w:p>
    <w:p>
      <w:r>
        <w:t xml:space="preserve"> </w:t>
      </w:r>
    </w:p>
    <w:p>
      <w:pPr>
        <w:pStyle w:val="Heading2"/>
      </w:pPr>
      <w:r>
        <w:t>Abstract</w:t>
      </w:r>
    </w:p>
    <w:p>
      <w:r>
        <w:t>This study evaluates whether granting displaced households service land certificates—combined with mandatory independent valuation and a statutory cash top-up when land value is insufficient—affects household wealth, compensation timeliness, and market outcomes in Vietnam. We use a quasi-experimental mixed-method design across three pilot sites (urban, peri-urban, rural): difference-in-differences with matched controls at household level, cluster-level synthetic control for site effects, and qualitative fieldwork to explain mechanisms. Valuation uses standardized DCF templates for income parcels and hedonic models for market parcels, with spatial weighting and validation. Main contributions are (1) causal estimates of net asset and welfare impacts of service-land compensation, (2) public, reproducible valuation templates and power calculations, and (3) operational anti-capture and MIS specifications linked to observed outcomes. Expected outcomes include robust evidence on whether service land produces equal or superior household asset outcomes and policy-ready protocols for valuation, monitoring, and safeguards.</w:t>
      </w:r>
    </w:p>
    <w:p>
      <w:r>
        <w:t xml:space="preserve"> </w:t>
      </w:r>
    </w:p>
    <w:p>
      <w:pPr>
        <w:pStyle w:val="Heading2"/>
      </w:pPr>
      <w:r>
        <w:t>Experiments</w:t>
      </w:r>
    </w:p>
    <w:p>
      <w:r>
        <w:t>Datasets: (1) Pilot cadastral parcel layer with attributes and hashed parcel IDs; (2) Historical land transaction registry (price, date, coordinates); (3) Household baseline and follow-up surveys (consumption, assets, demographics); (4) Valuation reports (DCF inputs, hedonic covariates); (5) Grievance logs; (6) High-resolution imagery and LULC maps; (7) Administrative registers for certificate issuance. Baselines: (A) cash-only compensation equal to owed market value; (B) status-quo compensation practices. Evaluation metrics: primary — household net asset value (total assets minus debts) at 12 months; secondary — per-capita consumption, time-to-certificate (days), value-equivalence ratio (parcel value / owed compensation), grievance resolution time (days), % female/joint name on certificate, incidence of rapid resale (&lt;12 months), transaction costs per case. Experimental setup: three pilot sites; in each site select treated cohort (~300 households) receiving service land certificates and a matched control cohort (~300 households) receiving cash-only or status-quo outcomes. Matching on pre-treatment covariates including baseline assets, tenure type, distance to CBD, hazard exposure, and commune fixed effects. Primary estimator: difference-in-differences (DiD) with cluster-robust standard errors (clusters = village or commune polygon) and household fixed effects. Cluster design: 12–15 clusters per arm, 20–30 households per cluster; intraclass correlation (ICC) assumed 0.02 for initial power tables. Pre-registration: register primary outcome, covariates, event-study specifications, and multiple-testing rules. Ablation studies: (1) service land with cash top-up vs service land without top-up, (2) transferability allowed vs transferability restricted, (3) valuation governance high-standard (accredited valuers + audit) vs low-standard. Spillover and spatial checks: buffer-zone analysis excluding households within X meters of treated parcels; spatial matching on distance metrics; synthetic control at site level when treated units are few. Robustness: placebo outcomes, lead-lag tests, Holm or Benjamini-Hochberg multiple-testing adjustment, and intention-to-treat (ITT) and per-protocol estimands. Reproducibility: publish code (R/Stata), valuation templates (DCF and hedonic functional forms), power tables, and data dictionary for non-sensitive variables.</w:t>
      </w:r>
    </w:p>
    <w:p>
      <w:r>
        <w:t xml:space="preserve"> </w:t>
      </w:r>
    </w:p>
    <w:p>
      <w:pPr>
        <w:pStyle w:val="Heading2"/>
      </w:pPr>
      <w:r>
        <w:t>Risk Factors And Limitations</w:t>
      </w:r>
    </w:p>
    <w:p>
      <w:r>
        <w:t>Incomplete or low-quality cadastral and transaction data may prevent reliable parcel matching and valuation. Elite capture or political interference can bias treatment allocation and post-treatment market behavior. Valuation errors (model misspecification, poor comparables) can mis-measure value-equivalence ratios. Spatial spillovers (price changes near treated parcels) can violate parallel trends and bias DiD estimates. Selection bias may arise if treated and control households differ on unobserved trends. Qualitative responses may be affected by social desirability or fear of authorities. Scalability is limited if institutional capacity (DONRE, cadastral systems) is weak; legal or budget constraints can prevent statutory cash top-ups. Generalization is restricted to Vietnamese provinces with similar land markets and governance; results may not apply to very remote or informally tenured settings. Computational demands are modest but require secure MIS infrastructure for sensitive data handling.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