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collab_conflict_ecotourism_westjava</w:t>
      </w:r>
    </w:p>
    <w:p>
      <w:r>
        <w:t xml:space="preserve"> </w:t>
      </w:r>
    </w:p>
    <w:p>
      <w:pPr>
        <w:pStyle w:val="Heading2"/>
      </w:pPr>
      <w:r>
        <w:t>Title</w:t>
      </w:r>
    </w:p>
    <w:p>
      <w:r>
        <w:t>Stepped-wedge mixed-method evaluation of structured stakeholder collaboration to transform conflicts in community-based ecotourism management in West Java state forests</w:t>
      </w:r>
    </w:p>
    <w:p>
      <w:r>
        <w:t xml:space="preserve"> </w:t>
      </w:r>
    </w:p>
    <w:p>
      <w:pPr>
        <w:pStyle w:val="Heading2"/>
      </w:pPr>
      <w:r>
        <w:t>Short Hypothesis</w:t>
      </w:r>
    </w:p>
    <w:p>
      <w:r>
        <w:t>Implementing a formalized multi-stakeholder collaboration package (MoU, joint committee, quarterly reflection) causes a ≥40% reduction in documented conflict incidents related to ecotourism and forest use within 18 months compared to non-collaborative management.</w:t>
      </w:r>
    </w:p>
    <w:p>
      <w:r>
        <w:t xml:space="preserve"> </w:t>
      </w:r>
    </w:p>
    <w:p>
      <w:pPr>
        <w:pStyle w:val="Heading2"/>
      </w:pPr>
      <w:r>
        <w:t>Related Work</w:t>
      </w:r>
    </w:p>
    <w:p>
      <w:r>
        <w:t>Existing approaches include community-based natural resource management, co-management and collaborative governance models that aim to share rights and responsibilities between state agencies and local communities. Livelihood-based ecotourism programs have been used to align incentives for conservation, while conflict-transformation literature emphasizes restorative facilitation and grievance systems. Methods for evaluation range from qualitative case studies and process tracing (good for mechanisms) to quasi-experimental designs (matching, difference-in-differences) and occasional cluster trials. Limitations: causal inference is often weak because interventions are non-randomized or lack appropriate controls; many studies focus on outcomes (income, attitudes) but omit spatially linked ecological monitoring; biodiversity indicators frequently rely on simple relative-abundance indices that ignore detection bias; social inclusion and elite-capture risks are under-measured; data governance and privacy for sensitive spatial data are rarely standardized. There are few rigorous mixed-method stepped-wedge evaluations that combine social, economic, governance, and spatial biodiversity indicators with pre-registered analysis plans.</w:t>
      </w:r>
    </w:p>
    <w:p>
      <w:r>
        <w:t xml:space="preserve"> </w:t>
      </w:r>
    </w:p>
    <w:p>
      <w:pPr>
        <w:pStyle w:val="Heading2"/>
      </w:pPr>
      <w:r>
        <w:t>Abstract</w:t>
      </w:r>
    </w:p>
    <w:p>
      <w:r>
        <w:t>This study tests whether structured multi-stakeholder collaboration can transform conflicts in community-based ecotourism management of state forest areas in West Java. We deploy a stepped-wedge mixed-method design that phases a collaboration package (Memorandum of Understanding, joint management committee, codified benefit-sharing, quarterly reflection and grievance SOPs) across clusters of villages. Data sources include household surveys, social network censuses, incident and patrol logs, camera-trap and transect biodiversity monitoring, visitor records, and remote-sensing for vegetation. The main contribution is an integrated, pre-registered evaluation that links governance interventions to measurable changes in conflict incidence, perceived legitimacy, household tourism income, and biodiversity indicators, using appropriate statistical models for counts and occupancy (for species). Expected outcomes are rigorous causal estimates of collaboration effects, explicit trade-offs between livelihood and conservation metrics, and practical operational thresholds (triggers) for adaptive governance. Results will inform replicable co-management templates that balance inclusion, data governance, and ecological monitoring in state-forest ecotourism contexts.</w:t>
      </w:r>
    </w:p>
    <w:p>
      <w:r>
        <w:t xml:space="preserve"> </w:t>
      </w:r>
    </w:p>
    <w:p>
      <w:pPr>
        <w:pStyle w:val="Heading2"/>
      </w:pPr>
      <w:r>
        <w:t>Experiments</w:t>
      </w:r>
    </w:p>
    <w:p>
      <w:r>
        <w:t>Datasets: (1) Retrospective 12-month conflict incident log + prospective quarterly incident logs; (2) Household panel surveys: 200 households per site, 2–3 intervention sites (400–600 households) and 2 matched control villages; (3) Social network census of management actors (60–100 unique stakeholders per site); (4) Biodiversity: 20–30 camera traps/site continuous rotations, 5–10 1-km transects/site for birds/amphibians, quarterly NDVI time series; (5) Patrol logs, grievance records, visitor booking logs. Baselines: pre-intervention 12 months + matched control villages. Treatment arms: (A) full collaboration package (MoU + committee + benefit-sharing + SOPs + quarterly reflection), (B) partial package I (MoU + committee only), (C) partial package II (MoU + benefit-sharing only), (D) status quo control. Sample sizes and power: household panels n≈200/site; assumed ICCs: income 0.05, perception 0.06, conflict-count 0.10; 80% power to detect ~15–20% changes in income/perception; note: detecting 40% conflict reduction requires ≥6 clusters or extended observation. Evaluation metrics: conflict incidents per quarter (count); perceived fairness Likert mean (1–5); household tourism income (local currency/month); rule-compliance incidents/month; camera-trap detection rate (detections per species per site-night) and occupancy probability (probability a species is present accounting for imperfect detection); NDVI change (%) per quarter. Models and analysis: pre-registered stepped-wedge mixed-effects models (outcome_itj = μ + τ*Intervention_itj + Xβ + cluster random effect + time fixed effects + ε), with negative-binomial link for counts (negative-binomial models handle over-dispersed counts), linear mixed models for continuous outcomes, cluster-robust standard errors, permutation inference for small-cluster robustness, difference-in-differences (DID) vs matched controls, and single-/multi-season occupancy models for camera-trap data (occupancy models estimate presence probability while correcting for imperfect detection). Attrition and missing data: multiple imputation and inverse-probability weighting; pre-specified attrition tests. Ablation and robustness: compare full package (A) vs partial packages (B,C) and vs control (D) to isolate the contribution of benefit-sharing and committee processes; sensitivity to ICC range, alternative link functions (Poisson vs negative-binomial), and placebo time-shifts. Pre-registration: submit a detailed pre-analysis plan specifying link functions, covariates (baseline outcome, wealth index, distance to trail, rainfall, month-year), subgroup analyses (women-headed households, youth), adjustment for multiple comparisons, and code (R scripts) for core models.</w:t>
      </w:r>
    </w:p>
    <w:p>
      <w:r>
        <w:t xml:space="preserve"> </w:t>
      </w:r>
    </w:p>
    <w:p>
      <w:pPr>
        <w:pStyle w:val="Heading2"/>
      </w:pPr>
      <w:r>
        <w:t>Risk Factors And Limitations</w:t>
      </w:r>
    </w:p>
    <w:p>
      <w:r>
        <w:t>Institutional veto or delays (e.g., Perhutani non-approval) that block rollout or force site substitution; contamination/spillover between nearby clusters (people, visitors, or rules crossing sites) that bias treatment effects; low statistical power for conflict-count outcomes with few clusters (counts are sparse and need more clusters or longer follow-up); reporting bias in self-reported incidents and incomes (under- or over-reporting); detection heterogeneity in camera-traps (season, baiting, camera failure) leading to biased biodiversity metrics; elite capture and uneven participation that change observed effects (governance benefits may concentrate); privacy risks from camera/GPS human-bycatch and sensitive location data (need controlled access); IRB and community consent delays affecting timeline; generalization limited to similar West Java state-forest ecologies and social contexts; computational limits are modest (standard mixed models and occupancy models) but complex permutation inference and multi-season occupancy estimation require careful implementation and moderate compute resources.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