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financial_inclusion_pwd_yogyakarta</w:t>
      </w:r>
    </w:p>
    <w:p>
      <w:r>
        <w:t xml:space="preserve"> </w:t>
      </w:r>
    </w:p>
    <w:p>
      <w:pPr>
        <w:pStyle w:val="Heading2"/>
      </w:pPr>
      <w:r>
        <w:t>Title</w:t>
      </w:r>
    </w:p>
    <w:p>
      <w:r>
        <w:t>Qualitative semi-structured interview assessment of facilitators and barriers to financial inclusion for persons with disabilities in Yogyakarta Special Region</w:t>
      </w:r>
    </w:p>
    <w:p>
      <w:r>
        <w:t xml:space="preserve"> </w:t>
      </w:r>
    </w:p>
    <w:p>
      <w:pPr>
        <w:pStyle w:val="Heading2"/>
      </w:pPr>
      <w:r>
        <w:t>Short Hypothesis</w:t>
      </w:r>
    </w:p>
    <w:p>
      <w:r>
        <w:t>Providing bank-level physical, communication, and verification accommodations increases formal account usage and transaction frequency among persons with disabilities in Yogyakarta relative to standard service provision.</w:t>
      </w:r>
    </w:p>
    <w:p>
      <w:r>
        <w:t xml:space="preserve"> </w:t>
      </w:r>
    </w:p>
    <w:p>
      <w:pPr>
        <w:pStyle w:val="Heading2"/>
      </w:pPr>
      <w:r>
        <w:t>Related Work</w:t>
      </w:r>
    </w:p>
    <w:p>
      <w:r>
        <w:t>Prior work on financial inclusion for people with disabilities has followed three broad approaches: (1) technology-centered solutions (mobile banking, agent networks) that lower physical access costs but may not address communication or verification barriers; (2) multidimensional measurement frameworks that build composite indices of access, usage, quality, and outcomes but differ in weighting and have limited validation for disability-relevant items; (3) sampling and outreach methods including respondent-driven sampling (RDS), venue-based, and household surveys to reach marginalized groups. Limitations include: technology solutions assume digital literacy and accessible interfaces; composite indices vary in construction (PCA, equal-weight, IRT) and can produce different rankings; RDS can fail when social networks are fragmented (common across diverse impairment groups), producing biased estimates; proxy reporting is common but can introduce measurement bias; and local design-effect (DEFF) or intracluster-correlation (ICC) priors are rarely validated, reducing power transparency. Quasi-experimental identification (DiD, RD, IV) is promising but depends on available rollout or administrative cutoffs, which are often undocumented.</w:t>
      </w:r>
    </w:p>
    <w:p>
      <w:r>
        <w:t xml:space="preserve"> </w:t>
      </w:r>
    </w:p>
    <w:p>
      <w:pPr>
        <w:pStyle w:val="Heading2"/>
      </w:pPr>
      <w:r>
        <w:t>Abstract</w:t>
      </w:r>
    </w:p>
    <w:p>
      <w:r>
        <w:t>This study examines facilitators and barriers to financial inclusion for persons with disabilities (PWDs) in Yogyakarta Special Region using qualitative semi-structured interviews and mixed sampling strategies. We collect perspectives from PWDs, bank/fintech staff, and disability experts to identify how physical access, communication, and verification procedures affect account ownership, transaction frequency, service quality, and financial resilience. The approach integrates a pilot (N≈300) to validate screening tools (Washington Group short vs extended sets), proxy reporting, and design-effect estimates, followed by a larger mixed-sample rollout (target disabled N≈3,000; non-disabled N≈1,500) using RDS, venue-based, and household recruitment. Main contributions are: (1) empirically grounded facilitators-and-barriers taxonomy for financial access by impairment type; (2) validated measurement rules and a pre-registered multidimensional inclusion index (PCA primary, equal-weight and IRT sensitivity); (3) operational RDS diagnostics and triangulation methods for heterogeneous impairment networks. Expected outcomes include clear, testable links between accommodations and inclusion measures and practical recommendations for banks, regulators, and DPOs to improve accessible financial services.</w:t>
      </w:r>
    </w:p>
    <w:p>
      <w:r>
        <w:t xml:space="preserve"> </w:t>
      </w:r>
    </w:p>
    <w:p>
      <w:pPr>
        <w:pStyle w:val="Heading2"/>
      </w:pPr>
      <w:r>
        <w:t>Experiments</w:t>
      </w:r>
    </w:p>
    <w:p>
      <w:r>
        <w:t>Datasets: 1) Pilot qualitative and quantitative mixed pilot (N≈300) stratified by six impairment domains with re-interviews (test–retest) N≈100; proxy validation dyads N≈150. 2) Main mixed sampling dataset: disabled sample target N≈3,000 (RDS + venue + household strata), non-disabled comparison N≈1,500. 3) Administrative linkage candidates: bank/agent opening logs, Kemensos program eligibility lists, OJK rollout notices (when available). Baselines: a) No-accommodation baseline (current bank practice as reported); b) WG-SS screening vs WG-Extended screening; c) index methods: PCA primary vs equal-weight vs IRT. Evaluation metrics: primary outcomes — account ownership (binary), monthly transaction frequency (count), service-accessibility score (0–10), financial resilience index (ability to cover one-month shock). Measurement metrics — sensitivity, specificity, Cohen's kappa for screening tools; proxy-bias measured as standardized mean difference (target &lt;=0.2 SD). Sampling diagnostics — RDS homophily, recruitment depth (waves), degree convergence. Experimental setup: Pilot executes semi-structured interviews and structured modules; re-interview N=100 at 2 weeks for test–retest reliability. Construct indices: standardize components then (i) PCA, (ii) equal-weight averaging, (iii) IRT latent trait; compare index correlation and subgroup MDEs. Causal tests (where admin data exist): implement difference-in-differences (DiD) on phased agent or branch rollouts with pre-trend tests; regression discontinuity (RD) if sharp eligibility cutoffs found; instrumental-variable (IV) designs using distance to nearest disability-friendly agent as instrument. Ablation studies: (A) exclude proxy respondents vs include; (B) WG-SS vs WG-Extended screening; (C) RDS-only estimates vs pooled RDS+venue+household estimates using RDS-II, Gile's SS, and model-based pooling. Pre-registration: publish exact estimators, covariate lists, fixed effects, and clustering rules prior to main analysis.</w:t>
      </w:r>
    </w:p>
    <w:p>
      <w:r>
        <w:t xml:space="preserve"> </w:t>
      </w:r>
    </w:p>
    <w:p>
      <w:pPr>
        <w:pStyle w:val="Heading2"/>
      </w:pPr>
      <w:r>
        <w:t>Risk Factors And Limitations</w:t>
      </w:r>
    </w:p>
    <w:p>
      <w:r>
        <w:t>1) RDS network fragmentation: impaired social networks may break RDS assumptions, causing biased estimates. 2) Proxy measurement bias: proxies may misreport subjective outcomes, inflating or deflating effect estimates. 3) Missing data and MNAR risk: important items may be not missing at random (MNAR), complicating imputation. 4) DEFF/ICC misestimation: pilot estimates may not generalize, producing underpowered subgroup tests. 5) Quasi-experimental data gaps: administrative rollouts or sharp cutoffs may be unavailable, preventing causal identification. 6) Interpreter and accessibility constraints: shortages of BISINDO/SIBI interpreters or tech failures limit inclusive data collection. 7) Limited generalizability: findings from Yogyakarta may not transfer to other provinces with different service networks. 8) Ethical/legal constraints: consent and proxy rules under local law may restrict some data collection or linkage. 9) Resource and timeline overruns: high costs for assisted interviews and accessibility materials can strain budgets and delay fieldwork.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