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bcw_anemia_pregnancy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Behavior Change Wheel-guided cluster randomized trial to prevent anemia in pregnant women using COM-B linked behavior change techniques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Behavior Change Wheel-designed intervention that delivers WHO-standard daily iron-folic acid plus COM-B-linked behavior change techniques through facility initiation and monthly community health worker follow-up will produce a larger increase in maternal hemoglobin from baseline to 36 ±2 weeks gestation than standard antenatal care with WHO-standard daily iron-folic acid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apply behavior-change education, community engagement, and adherence reminders to reduce maternal anemia; many use randomized trials and biomarker outcomes (hemoglobin, ferritin). Limitations in prior work include inconsistent behavior-change theory application, weak or nonstandard adherence measurement (relying mainly on self-report), poor adjustment for inflammation when interpreting ferritin, limited mediation analyses linking behavior change to biological outcomes, small or underpowered cluster designs, inadequate fidelity monitoring of behavior-change techniques, and insufficient attention to equity (adolescents, low-literacy, displaced groups) and hemoglobinopathy or infection confounding. Operational gaps include variable randomization and contamination control methods and few studies reporting concrete costing and DSMB/SAE procedures.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cluster-randomized trial that uses the Behavior Change Wheel (BCW) and COM-B framework (COM-B = capability, opportunity, motivation model of behaviour) to design an adherence-focused intervention for preventing anemia during pregnancy. The intervention pairs WHO-standard daily iron-folic acid (60 mg elemental iron + 400 µg folic acid) with COM-B–linked behavior change techniques (BCTs) delivered at facility initiation plus monthly community health worker (CHW) follow-up, blister-pack dispensing, and timed SMS reminders. The main contribution is an integrated, theory-driven package with objective adherence measurement, inflammation-adjusted iron biomarkers, pre-specified mediation analysis, fidelity metrics, safety governance, and costing for scale-up. Expected outcome: the BCW-designed package will increase mean hemoglobin at 36 ±2 weeks gestation relative to standard ANC, with measurable pathways through improved adherence, self-efficacy, and social support. Results will inform feasible, scalable anemia prevention strategies that link behavioral mechanisms to biological impact.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cluster-randomized controlled trial (clusters = primary health facility catchment areas). Randomization: restricted, stratified by district and baseline anemia prevalence; allocation ratio 1:1. Sample: 25 clusters per arm, mean cluster size m = 50 pregnant women, enrollment gestational age 8–20 weeks. Inclusion: singleton pregnancy, age ≥15 years (adolescent assent per local law), attending ANC, able to consent; Exclusion: twin pregnancy, chronic disease requiring alternate iron therapy, current severe anemia (Hb &lt;7.0 g/dL) requiring immediate treatment. Data collected: baseline, midline (~28 weeks), endline (36 ±2 weeks). Datasets: trial participant records, laboratory Hb/ferritin/CRP/AGP, CHW logs, blister-pack counts, SMS logs, pharmacy refill records, EM device logs (electronic monitors) for 10% subsample, fidelity checklists, adverse events, costing sheets. Arms: control = standard ANC + WHO IFA; intervention = BCW-designed package + WHO IFA. Baselines for comparison: standard ANC practice in same facilities. Outcomes and metrics: primary = mean change in hemoglobin (g/dL) baseline→endline; secondary = anemia prevalence (Hb &lt;11.0 g/dL) at endline, inflammation-adjusted ferritin (BRINDA-style adjustment where CRP/AGP available), objective adherence = percent of days with dose taken over 30-day windows (adherent if ≥90%), mediator scores (knowledge, self-efficacy, social support), fidelity proportion (sessions meeting ≥80% pre-specified BCT items), SAEs count, unit costs and incremental cost per anemia case averted. Analysis: linear mixed-effects model (LME) for primary outcome with fixed effects: arm, baseline Hb, baseline gestational age, maternal age, parity, education, malaria/HIV status, strata; random intercepts for cluster and participant (participant nested in cluster). Binary outcomes via logistic mixed-effects. Mediation: multilevel causal mediation estimating natural indirect and direct effects with cluster-level random effects. Missing data: multiple imputation compatible with multilevel structure. Power and simulation: implement simr-based simulations (lme4 or glmmTMB) across ICC scenarios 0.02–0.08 and LTFU up to 20%. Ablation studies: (A) remove monthly CHW visits (facility-only BCTs), (B) remove SMS and adherence aids (no reminders), compare each to full intervention and to control. Validation studies: calibrate blister-pack adherence against EM subsample and pharmacy logs; conduct unannounced home-visit subsample to detect pill dumping. Pre-specified subgroup analyses: baseline anemia status, adolescent vs adult, malaria status, parity.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biases: blister-pack counts can be fooled by pill dumping or social desirability; EM devices may alter behavior (reactivity) and cover only a subsample. Biomarker confounding: inflammation (CRP/AGP) and hemoglobinopathies can distort ferritin and Hb interpretation; local lab QA variability may affect results. Design risks: cluster contamination (information spillover across clusters) and cluster loss reduce power; ICC higher than assumed or uneven cluster sizes will lower effective sample size. Missing data: differential loss-to-follow-up may bias estimates and compromise mediation timing. Mediation limits: causal mediation assumptions (no unmeasured mediator–outcome confounding) may be violated, reducing interpretability. Generalizability: findings from specific health system contexts and CHW models may not transfer to areas with different supply chains or cultural norms. Operational limits: lab capacity constraints for CRP/AGP or sTfR/hepcidin, SMS network reliability, and CHW workforce variability may limit fidelity and scalability. Safety and ethics: social harms from household tension or coercion related to pill-taking may occur and could affect retention and outcomes.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