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fopnl_bayesian_linkage_choice</w:t>
      </w:r>
    </w:p>
    <w:p>
      <w:r>
        <w:t xml:space="preserve"> </w:t>
      </w:r>
    </w:p>
    <w:p>
      <w:pPr>
        <w:pStyle w:val="Heading2"/>
      </w:pPr>
      <w:r>
        <w:t>Title</w:t>
      </w:r>
    </w:p>
    <w:p>
      <w:r>
        <w:t>A Bayesian latent-match and mixed-logit analysis of front-of-package nutrition labels on packaged food choice in Indonesia</w:t>
      </w:r>
    </w:p>
    <w:p>
      <w:r>
        <w:t xml:space="preserve"> </w:t>
      </w:r>
    </w:p>
    <w:p>
      <w:pPr>
        <w:pStyle w:val="Heading2"/>
      </w:pPr>
      <w:r>
        <w:t>Short Hypothesis</w:t>
      </w:r>
    </w:p>
    <w:p>
      <w:r>
        <w:t>Exposure to front-of-package nutrition labeling (binary warnings, traffic-light, or summary‑score with positive components) causally increases the probability that adult consumers select healthier packaged foods compared with no label.</w:t>
      </w:r>
    </w:p>
    <w:p>
      <w:r>
        <w:t xml:space="preserve"> </w:t>
      </w:r>
    </w:p>
    <w:p>
      <w:pPr>
        <w:pStyle w:val="Heading2"/>
      </w:pPr>
      <w:r>
        <w:t>Related Work</w:t>
      </w:r>
    </w:p>
    <w:p>
      <w:r>
        <w:t>Prior studies evaluate front-of-package nutrition labeling (FOPNL) using randomized surveys, discrete choice experiments (DCEs), and observational purchase data. Common label formats tested include binary warnings (Chile-style), traffic-light (UK-style), and summary scores (Nutri-Score style). Choice modeling typically uses mixed logit models to capture preference heterogeneity; mediation by attention and comprehension is rarely instrumented experimentally. Linking survey or experiment records to loyalty-card purchases has been done with deterministic IDs or simple probabilistic matching, but methods often ignore linkage uncertainty when estimating treatment effects. Bayesian latent-match models and probabilistic linkage (e.g., Bloom filters) have been proposed to propagate linkage error, yet regulatory reviews find many implementations lack quantitative justification of linkage parameters, calibration of match scores to probabilities, and explicit deduplication rules. Limitations include bias from false or missed matches, insufficient clerical sampling plans, underpowered subgroup analyses, and incomplete propagation of linkage and calibration uncertainty into final effect estimates.</w:t>
      </w:r>
    </w:p>
    <w:p>
      <w:r>
        <w:t xml:space="preserve"> </w:t>
      </w:r>
    </w:p>
    <w:p>
      <w:pPr>
        <w:pStyle w:val="Heading2"/>
      </w:pPr>
      <w:r>
        <w:t>Abstract</w:t>
      </w:r>
    </w:p>
    <w:p>
      <w:r>
        <w:t>Obesity and changing diets motivate evaluation of front-of-package nutrition labels (FOPNL) to guide packaged food choice. This study jointly addresses label effects on consumer selection and the uncertainty introduced by record linkage between online survey experiments and store purchase data. We randomize adult Indonesian participants to label formats (binary warning, traffic-light, summary-score with positive components) and run discrete choice tasks and a brief attention/comprehension manipulation. A unified analysis pipeline uses a Bayesian latent-match model that treats match status as unknown and samples it jointly with a mixed-logit choice model; alternative analyses use multiple imputation or probability weighting. The main contributions are (1) principled calibration of Bloom-filter match scores to match probabilities, (2) pre-specified deduplication policies (one-to-one and probabilistic aggregation), and (3) Monte Carlo simulations that quantify power and bias under realistic linkage error grids. Expected outcomes include unbiased average and subgroup treatment effect estimates with transparent uncertainty intervals useful for policy makers and regulators.</w:t>
      </w:r>
    </w:p>
    <w:p>
      <w:r>
        <w:t xml:space="preserve"> </w:t>
      </w:r>
    </w:p>
    <w:p>
      <w:pPr>
        <w:pStyle w:val="Heading2"/>
      </w:pPr>
      <w:r>
        <w:t>Experiments</w:t>
      </w:r>
    </w:p>
    <w:p>
      <w:r>
        <w:t>Datasets: (a) online cross-sectional survey of Indonesian adults recruited via social media (n target per scenario provided by power sims), collecting demographics, SES, nutrition literacy, health goals, attention/comprehension quizzes, and experiment IDs; (b) nutrition composition database for packaged products with per-100g/ml nutrient fields; (c) retailer loyalty-card or scanner purchase records to be linked via hashed IDs or probabilistic linkage. Baselines: no-label control; binary warning label; traffic-light label; summary-score label with positive components (fiber, fruit/veg/wholegrain) scored 0–5 each. Evaluation metrics: primary—probability of choosing a healthier product (binary per choice task), average treatment effect (ATE) on healthier choice; secondary—conditional ATEs (CATEs) by SES and nutrition literacy, willingness-to-pay estimates, calibration metrics for linkage (Brier score, ROC/AUC), PPV and sensitivity, bias, RMSE, posterior coverage of ATE. Experimental setup: randomize participants to label arms; administer 8–10 DCE choice tasks per respondent with two alternatives plus opt-out; include price, brand, and label attributes; randomize a brief attention salience cue (instrument) orthogonal to label assignment. Modeling pipeline: (1) mixed-logit choice model (random coefficients) to estimate utilities and heterogeneity; (2) hybrid choice model incorporating latent attention/comprehension variables where measured; (3) primary linkage-aware estimator: Bayesian latent-match + outcome model implemented in Stan where each potential match has a Bernoulli indicator with probability given by a calibrated logistic function of Bloom-filter score (Platt scaling) and pilot-derived Beta priors; (4) alternatives: multiple imputation of match assignments (M=50) and probability-weighted aggregation with bootstrap CIs. Ablations/comparisons: (A) with vs without attention instrument; (B) label formats comparison and removal of positive components from summary score; (C) deduplication policies—one-to-one max-posterior match, posterior-weighted purchase aggregation, and multiple-imputation aggregation; (D) Bloom-filter settings q=2 vs q=3, k=3 hashes vs k=5, and m=2048 vs m=4096 bits. Linkage calibration: train logistic calibration (Platt scaling) on clerical-labeled sample, cross-validate, report Brier and calibration plots, and propagate calibration parameter uncertainty hierarchically into Stan. Clerical review: stratified sampling of ambiguous pairs by P-band and purchase value with sample sizes computed to reach SE(false-match) ≤ 0.005; double-code 10% for inter-rater κ diagnostics. Power and sensitivity: run unified Monte Carlo grids varying false-match (0–10%) and missed-match (0–20%), attrition (0–30%), ICCs (0.01–0.10), and ATEs (3–10 percentage points) to produce pre-registered power tables.</w:t>
      </w:r>
    </w:p>
    <w:p>
      <w:r>
        <w:t xml:space="preserve"> </w:t>
      </w:r>
    </w:p>
    <w:p>
      <w:pPr>
        <w:pStyle w:val="Heading2"/>
      </w:pPr>
      <w:r>
        <w:t>Risk Factors And Limitations</w:t>
      </w:r>
    </w:p>
    <w:p>
      <w:r>
        <w:t>Linkage error bias: false matches and missed matches can attenuate or bias ATE/CATE estimates and may differ by SES, causing differential bias. Calibration risk: poor calibration of match scores to probabilities leads to incorrect uncertainty propagation. Clerical workload: achieving precise priors (SE ≤ 0.005) may require substantial manual review and time. Representativeness and external validity: online social media samples may not generalize to national populations or offline shoppers. Computational cost: Bayesian joint models with latent matches and mixed-logit structure are compute-intensive and may require high-performance servers; slow convergence or low effective sample size can impede inference. Privacy and legal constraints: access to loyalty data may be restricted by contracts or regulations, limiting linkage coverage. Deduplication ambiguity: one-to-one vs many-to-one linking and transitive matches can change aggregated purchase histories and affect estimates. Measurement error: attention and comprehension measures (timed clicks, quizzes) are noisy proxies for cognitive processes. Limited subgroup power: pre-specified CATEs for small subgroups may be underpowered after accounting for linkage uncertainty.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