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tukuder_social_cohesion</w:t>
      </w:r>
    </w:p>
    <w:p>
      <w:r>
        <w:t xml:space="preserve"> </w:t>
      </w:r>
    </w:p>
    <w:p>
      <w:pPr>
        <w:pStyle w:val="Heading2"/>
      </w:pPr>
      <w:r>
        <w:t>Title</w:t>
      </w:r>
    </w:p>
    <w:p>
      <w:r>
        <w:t>A mixed-methods ethnographic and survey study measuring the effect of Tukuder festival participation on social cohesion and intergenerational heritage transmission in Kendal, Indonesia</w:t>
      </w:r>
    </w:p>
    <w:p>
      <w:r>
        <w:t xml:space="preserve"> </w:t>
      </w:r>
    </w:p>
    <w:p>
      <w:pPr>
        <w:pStyle w:val="Heading2"/>
      </w:pPr>
      <w:r>
        <w:t>Short Hypothesis</w:t>
      </w:r>
    </w:p>
    <w:p>
      <w:r>
        <w:t>Regular participation in the Tukuder festival increases individual social cohesion scores relative to non-participants, and this effect is mediated by shared ritual food practices and intergenerational interactions.</w:t>
      </w:r>
    </w:p>
    <w:p>
      <w:r>
        <w:t xml:space="preserve"> </w:t>
      </w:r>
    </w:p>
    <w:p>
      <w:pPr>
        <w:pStyle w:val="Heading2"/>
      </w:pPr>
      <w:r>
        <w:t>Related Work</w:t>
      </w:r>
    </w:p>
    <w:p>
      <w:r>
        <w:t>Prior work includes ethnographic studies of living religious and local festivals, community-driven legal and governance models for heritage, development of social cohesion measurement tools, and digital archiving practices for cultural materials. Ethnographies provide deep contextual insight but are often small-sample and not directly comparable across communities. Measurement tool research offers validated scales for trust and belonging but rarely tests cross-language validity (e.g., Bahasa Indonesia versus Jawi/Javanese) or mixed-method triangulation. Digital-archiving work defines technical preservation standards but often lacks community-led access governance, measurable anonymization protocols, and tested withdrawal procedures. Geospatial studies of festivals examine crowd flow but frequently omit privacy-preserving defaults and re-identification risk quantification. Limits across these areas are: weak integration between qualitative insight and reproducible quantitative measures, insufficient psychometric validation across local languages, unclear privacy metrics for GPS and multimedia, and lack of tested community-hosted archival workflows.</w:t>
      </w:r>
    </w:p>
    <w:p>
      <w:r>
        <w:t xml:space="preserve"> </w:t>
      </w:r>
    </w:p>
    <w:p>
      <w:pPr>
        <w:pStyle w:val="Heading2"/>
      </w:pPr>
      <w:r>
        <w:t>Abstract</w:t>
      </w:r>
    </w:p>
    <w:p>
      <w:r>
        <w:t>This study examines whether participation in the Tukuder festival at Jami Al-Muttaqin mosque sustains social cohesion and transfers intangible Islamic-Javanese heritage across generations. We combine ethnographic observation, in-depth interviews, bilingual surveys, social-network questions, geospatial tracking (opt-in), and a pilot digital archive to measure effects. Main contributions are: (1) a reproducible Social Cohesion Index adapted and tested across Bahasa Indonesia and Jawi/Javanese; (2) an integrated mixed-methods protocol linking ritual food practices and intergenerational exchange to cohesion via mediation analysis; and (3) a community-centered archiving workflow with tiered consent and measurable anonymization defaults for GPS and audiovisuals. Expected outcomes are: empirical estimates of the causal effect of festival participation on cohesion, validated bilingual instruments suited for local contexts, and operational templates (consent, ingest, anonymization, RBAC) for community stewardship of cultural data. Results will inform local heritage policy and provide a tested pilot that balances scientific rigor with cultural respect and data privacy.</w:t>
      </w:r>
    </w:p>
    <w:p>
      <w:r>
        <w:t xml:space="preserve"> </w:t>
      </w:r>
    </w:p>
    <w:p>
      <w:pPr>
        <w:pStyle w:val="Heading2"/>
      </w:pPr>
      <w:r>
        <w:t>Experiments</w:t>
      </w:r>
    </w:p>
    <w:p>
      <w:r>
        <w:t>Datasets: (1) Main survey: n=460 respondents across communities around Masjid Al-Muttaqin, bilingual (Bahasa Indonesia and Jawi/Javanese), containing 4–6 Social Cohesion Index (SCI) items, participation and intergenerational contact modules, demographics, and ego-network items. (2) Pilot audiovisual corpus: 30 ritual recordings (audio/video masters) with consent metadata. (3) Artifact inventory: 50 tangible items with condition reports. (4) GPS tracks: n=100 opt-in participant trajectories during festival phases. Baselines: (A) non-participant control group from same communities; (B) model variant using single-item cohesion measure; (C) model without mediation variables (food and intergenerational indicators). Evaluation metrics: effect size Cohen's d for participant vs non-participant; multilevel model coefficients and p-values; latent-variable fit: RMSEA, CFI (confirmatory factor analysis); measurement invariance ΔCFI (&lt;0.01 threshold between groups); Cronbach's alpha for reliability; network metrics (density, mean degree); spatial privacy metrics: median re-identification risk, spatial jitter RMSE; archival metrics: ingest success rate, fixity failure rate. Experimental setup: stratified multi-stage sampling with oversampling of festival participants, target ≥200 respondents per language group for invariance testing; cognitive interviews (n=20) for translation checks; pre-registration of analysis plan. Statistical models: multilevel linear models (individuals nested in households/communities) implemented in R (lme4), mediation tested via SEM (lavaan), network measures via igraph. Comparisons/ablations: (1) mediation ablation removing food items to test mediation loss; (2) language ablation using single-language data to observe metric shifts; (3) spatial-precision ablation: raw GPS vs 50 m jitter vs 250 m aggregation to measure changes in predictive power and privacy metrics; (4) archival workflow comparison: local-only vs hybrid mirror ingest measuring ingest time, fixity, and access-latency. All analyses include missing-data rules (multiple imputation) and report ICC and design effects.</w:t>
      </w:r>
    </w:p>
    <w:p>
      <w:r>
        <w:t xml:space="preserve"> </w:t>
      </w:r>
    </w:p>
    <w:p>
      <w:pPr>
        <w:pStyle w:val="Heading2"/>
      </w:pPr>
      <w:r>
        <w:t>Risk Factors And Limitations</w:t>
      </w:r>
    </w:p>
    <w:p>
      <w:r>
        <w:t>Consent and participation risk: low opt-in rates for GPS or close-up recordings will reduce power and may bias samples. Measurement risk: failure of measurement invariance across language groups limits cross-language comparability. Data quality risk: audio/video loss, corrupted files, or failed fixity checks can remove key evidence. Privacy risk: multimedia and high-precision GPS can enable re-identification if anonymization is insufficient. Legal risk: unclear lawful bases beyond consent or cross-border transfer limits may restrict data use. Sampling and generalization: results are site-specific and may not generalize beyond Kendal or other Javanese-Islamic contexts. Resource risk: limited funding for long-term repository maintenance and conservator visits may reduce sustainability. Technical scaling: storage and archival workflows may require resources or skills not available locally, limiting reproducibility. Evaluation bias: social desirability in survey responses about ritual participation can inflate cohesion estimates. Computational limits: SEM and multilevel models with complex missing-data procedures require statistical expertise and compute time for robust inference.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