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meaning_of_work_survival_java</w:t>
      </w:r>
    </w:p>
    <w:p>
      <w:r>
        <w:t xml:space="preserve"> </w:t>
      </w:r>
    </w:p>
    <w:p>
      <w:pPr>
        <w:pStyle w:val="Heading2"/>
      </w:pPr>
      <w:r>
        <w:t>Title</w:t>
      </w:r>
    </w:p>
    <w:p>
      <w:r>
        <w:t>Time-to-event analysis of how multidimensional meaning of work predicts duration of post-retirement paid employment among retirees in Yogyakarta, Indonesia</w:t>
      </w:r>
    </w:p>
    <w:p>
      <w:r>
        <w:t xml:space="preserve"> </w:t>
      </w:r>
    </w:p>
    <w:p>
      <w:pPr>
        <w:pStyle w:val="Heading2"/>
      </w:pPr>
      <w:r>
        <w:t>Short Hypothesis</w:t>
      </w:r>
    </w:p>
    <w:p>
      <w:r>
        <w:t>Higher levels of meaning of work, particularly spiritual and generativity dimensions measured at baseline and over time, causally reduce the hazard of sustained cessation of paid post-retirement employment (no paid work for ≥6 months) among retirees aged 53+ in Yogyakarta, controlling for health, prior occupation, pension income, household wealth, caregiving, and local labor demand.</w:t>
      </w:r>
    </w:p>
    <w:p>
      <w:r>
        <w:t xml:space="preserve"> </w:t>
      </w:r>
    </w:p>
    <w:p>
      <w:pPr>
        <w:pStyle w:val="Heading2"/>
      </w:pPr>
      <w:r>
        <w:t>Related Work</w:t>
      </w:r>
    </w:p>
    <w:p>
      <w:r>
        <w:t>Existing studies on post-retirement work typically use cross-sectional or simple longitudinal regressions and focus on economic or health determinants. Survival-analytic work on retirement has applied Cox or parametric hazards to time-to-retirement but often treats psychological constructs as fixed baseline covariates. Psychometric research on meaning of work has developed multidimensional scales (financial, personal, social, generativity, spiritual) but frequently lacks repeated measurement, cultural adaptation, or strict invariance testing across subgroups. Methods addressing time-varying confounding (marginal structural models, g-formula), measurement error (latent-variable survival models), competing risks (Fine–Gray), multi-state transitions, spatial frailty, and informative censoring (IPCW, joint models) are established in other fields but underused in retirement-meaning studies. Gaps: small samples, limited causal identification, rare integration of psychometrics with time-to-event models, sparse use of multi-state models for informal/formal work transitions, and weak treatment of spatial/local labor contexts.</w:t>
      </w:r>
    </w:p>
    <w:p>
      <w:r>
        <w:t xml:space="preserve"> </w:t>
      </w:r>
    </w:p>
    <w:p>
      <w:pPr>
        <w:pStyle w:val="Heading2"/>
      </w:pPr>
      <w:r>
        <w:t>Abstract</w:t>
      </w:r>
    </w:p>
    <w:p>
      <w:r>
        <w:t>This study examines whether different dimensions of meaning of work predict how long retirees continue paid employment after retirement in Yogyakarta, Indonesia. Using structured interviews of 230 retirees aged 53+, we model time from retirement to sustained cessation of paid work (≥6 months) with time-to-event methods. We treat meaning of work as a multidimensional construct (financial, personal, social, generativity, spiritual) measured at baseline and repeatedly, and apply parametric Gompertz survival models, Cox cause-specific hazards, Fine–Gray competing-risk models, and marginal structural models with inverse-probability weights to address time-varying confounding. We integrate psychometric validation (exploratory and confirmatory factor analysis, invariance testing) and latent-variable survival models to account for measurement error. We report hazard ratios, cumulative incidence differences, and model fit alongside diagnostics for weights, censoring, and spatial clustering. The main contribution is a reproducible, pre-specified pipeline that links culturally adapted meaning-of-work measurement to robust causal survival inference, producing actionable estimates of how non-financial motivations affect post-retirement employment duration in a lower-middle-income, mixed formal–informal labor context.</w:t>
      </w:r>
    </w:p>
    <w:p>
      <w:r>
        <w:t xml:space="preserve"> </w:t>
      </w:r>
    </w:p>
    <w:p>
      <w:pPr>
        <w:pStyle w:val="Heading2"/>
      </w:pPr>
      <w:r>
        <w:t>Experiments</w:t>
      </w:r>
    </w:p>
    <w:p>
      <w:r>
        <w:t>Datasets: primary: structured interviews N=230 retirees aged 53+ in Yogyakarta with repeated waves and event histories; linked administrative files where available (pension records, mortality); village/district geodata (population, facility density, unemployment proxies). Preprocessing: construct counting-process dataset (start, stop, event), align time-varying covariates to interval starts, one-period lag predictors, mark interval-censoring windows, code event = sustained cessation (no paid work ≥6 months), competing event = death. Baselines: (A) Gompertz proportional hazards parametric model with core covariates only (no meaning), (B) Cox cause-specific hazards with baseline meaning only, (C) Fine–Gray subdistribution hazards with baseline meaning, (D) Cox with time-varying meaning, (E) MSM estimated by stabilized IPTW in counting-process format (primary causal model), (F) shared-frailty Cox (village-level), (G) multi-state transition models (formal↔informal↔not working), (H) latent-variable survival joint model (meaning trajectory + time-to-exit). Ablations: remove each meaning subdomain (financial, personal, social, generativity, spiritual) one at a time; compare baseline-only vs time-varying meaning; naive observed-scale survival vs latent-variable survival (measurement-error test); IPCW vs complete-case for informative censoring. Evaluation metrics: cause-specific hazard ratios (HR) with 95% CI, subdistribution HRs, cumulative incidence function (CIF) differences at 1,2,3 years, Harrell's C-index (predictive discrimination), Brier score and calibration plots (prediction error), AIC/BIC for model fit, weight diagnostics (mean, SD, proportion extreme, effective sample size), psychometric indices: CFI, TLI, RMSEA (fit), Cronbach's omega (reliability), DIF statistics for invariance. Statistical setup: cluster-robust SEs at village or shared-frailty as appropriate, bootstrap (1000 replicates) for CIs of CIF and latent models, multiple-comparison control via FDR for subgroup tests, pre-specified significance α=0.05. Reporting: pre-register estimands (marginal HR via MSM, per-interval dynamic effects, cumulative incidence differences), provide full diagnostic tables and reproducible code with a containerized environment.</w:t>
      </w:r>
    </w:p>
    <w:p>
      <w:r>
        <w:t xml:space="preserve"> </w:t>
      </w:r>
    </w:p>
    <w:p>
      <w:pPr>
        <w:pStyle w:val="Heading2"/>
      </w:pPr>
      <w:r>
        <w:t>Risk Factors And Limitations</w:t>
      </w:r>
    </w:p>
    <w:p>
      <w:r>
        <w:t>Limited sample size and event counts (N=230) may yield low power, especially for subgroup or multi-state analyses. Measurement error in meaning scales and limited waves reduce precision and may bias time-varying estimates. Informative censoring (dropout, migration) and interval-censored event dates can distort hazards. Unmeasured confounding (e.g., unobserved motivation, local informal networks) may violate causal assumptions; candidate IVs may be weak or invalid. Spatial misclassification from jittered coordinates can bias area-level covariates. Multi-state transitions may be sparse, producing unstable estimates for rare transitions. Complex models (MSM, joint latent survival) require substantial computation and convergence may fail with small data. Findings may not generalize beyond Yogyakarta or similar mixed formal–informal labor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