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vietnam_poland_transnational_return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Quantitative assessment of how transnational practices and return intentions shape political integration of Vietnamese migrants in Poland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Greater political transnational engagement causally reduces Vietnamese migrants' political integration in Poland (measured by naturalization and turnout), and this negative effect is larger for migrants with stronger return intentions.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research has used qualitative case studies, small-N surveys, social-network mapping, and digital trace analyses to link migrants' transnational ties to host-country integration. Many studies emphasize dual identity and community networks or document online diaspora activism, but they often lack large, representative samples, rigorous causal identification, or pre-registered measurement validation. Prior quantitative work commonly treats transnationalism as a single dimension (e.g., remittances or homeland voting) and rarely compares political versus non-political transnational practices or tests moderation by return intentions. Sampling studies frequently rely on convenience samples or single-mode recruitment, producing coverage bias; network-driven studies often lack privacy-preserving release procedures. Overall gaps include limited causal leverage (few quasi-experimental designs or embedded experiments), insufficient handling of RDS/venue combined weights, sparse measurement invariance testing across languages, and weak plans for differential privacy and synthetic-data validation.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whether and how Vietnamese migrants' transnational practices (political and non-political) affect their political integration in Poland, and whether migrants' return intentions change those effects. We use a large, mixed-mode quantitative design (baseline survey n≈1,400 across Warsaw, Kraków, Gdańsk, Wrocław; pilot n≈200) combining venue sampling and respondent-driven sampling (RDS), plus administrative linkage where consented and follow-up panel data. Primary analysis estimates multilevel logistic models and structural equation models to test direct effects, mediation by belonging, and moderation by return-intention profiles. We preregister quasi-experimental levers (difference-in-differences for municipal outreach, administrative waiting-time shocks as instruments) and embed randomized information vignettes. Contributions: (1) disaggregate political vs non-political transnationalism; (2) test complementarity versus substitution mechanisms; (3) pre-register weighting/DP (differential privacy) rules and synthetic-data validation. Expected outcome: defensible estimates of how transnational ties and return horizons jointly shape naturalization and turnout, with reproducible code and privacy-preserving public outputs.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 survey n≈200; baseline survey n≈1,400 across four cities (≈350/city) collected with dual-frame design (venue probability + RDS), panel Wave 2 (expected retention ≈75%, n≈1,050), qualitative interviews n≈40–60 for interpretation, and admin data linkage for naturalization/voter records when consented. Baselines: (A) unadjusted models with demographics only; (B) models adding aggregated transnational index (all practices); (C) models separating political vs non-political transnational indices; (D) models with no weighting vs RDS-II weights vs composite dual-frame weights; (E) models without moderation vs with return-intention interaction. Evaluation metrics: for binary outcomes (naturalization, turnout) report odds ratios, average treatment effects (ATE) on probability scale, marginal effects, 95% CI coverage; for continuous indices report RMSE and mean bias; for weights report bias, variance, and MSE from simulation; for DP outputs report bias in coefficients, CI coverage, and centrality MSE for networks. Experimental setup: (1) Primary analyses: multilevel logistic regression with city fixed effects and clustered SEs, pre-specified covariates. (2) Mediation: structural equation modeling (SEM) for belonging as mediator. (3) Moderation: interaction terms between transnational measures and return-intention categories. (4) Quasi-experiments: DID using staggered municipal outreach (city×time fixed effects) and IV regressions using administrative waiting-time shocks or consular access as instruments (instrument validity checks reported). (5) Embedded randomized vignette experiment on naturalization info (intent-to-treat ATE). Ablations/comparisons: remove political transnational component; drop moderation; compare weighting methods; compare DP ε values (e.g., 0.5,1.0,2.0) on utility metrics; run simulations of RDS seed bias/homophily to report sensitivity. Pre-registration: all models, primary contrasts, trimming rules, and DP parameters committed before analysis.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Low admin-linkage consent leading to partial outcome data and selection bias. RDS failure modes: seed dependence, high homophily, non-reciprocal ties causing biased weights. High panel attrition reducing power and inducing attrition bias. Measurement risks: cross-language non-invariance (items functioning differently in Vietnamese vs Polish). Differential privacy noise (DP) may substantially degrade estimates for rare outcomes or small subgroups. Weight trimming rules may introduce bias-variance trade-offs in unknown ways. Quasi-experimental instruments (waiting-time shocks, consular changes) may violate exclusion restrictions. Limited generalizability beyond the four sampled cities or to other migrant groups. Ethical/legal constraints (GDPR, risk to undocumented participants) may require excluding vulnerable respondents from experiments, producing selection effects. Budget or staff shortfalls could reduce sample size, pilot reach, or follow-up, affecting detectability of small effects.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