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one_health_competency_nakhon_sawan</w:t>
      </w:r>
    </w:p>
    <w:p>
      <w:r>
        <w:t xml:space="preserve"> </w:t>
      </w:r>
    </w:p>
    <w:p>
      <w:pPr>
        <w:pStyle w:val="Heading2"/>
      </w:pPr>
      <w:r>
        <w:t>Title</w:t>
      </w:r>
    </w:p>
    <w:p>
      <w:r>
        <w:t>Mixed-methods multilevel assessment and prediction of One Health core competencies among local-level workforce in Nakhon Sawan, Thailand</w:t>
      </w:r>
    </w:p>
    <w:p>
      <w:r>
        <w:t xml:space="preserve"> </w:t>
      </w:r>
    </w:p>
    <w:p>
      <w:pPr>
        <w:pStyle w:val="Heading2"/>
      </w:pPr>
      <w:r>
        <w:t>Short Hypothesis</w:t>
      </w:r>
    </w:p>
    <w:p>
      <w:r>
        <w:t>Higher organizational support, readiness, and positive workforce motivation and attitudes cause higher One Health competency scores among local-level staff in Nakhon Sawan.</w:t>
      </w:r>
    </w:p>
    <w:p>
      <w:r>
        <w:t xml:space="preserve"> </w:t>
      </w:r>
    </w:p>
    <w:p>
      <w:pPr>
        <w:pStyle w:val="Heading2"/>
      </w:pPr>
      <w:r>
        <w:t>Related Work</w:t>
      </w:r>
    </w:p>
    <w:p>
      <w:r>
        <w:t>Existing work on One Health workforce measurement uses competency frameworks, self-report surveys, vignette or simulation tasks, 360° feedback, and psychometric approaches (classical test theory and item response theory). Prior studies often rely on single-source self-report data, small convenience samples, or national-level analyses that mask local heterogeneity. Psychometric work shows IRT/Rasch methods improve item functioning but requires larger samples for stable parameters. Multilevel models have been used in workforce studies to account for clustering by organization, but published ICC estimates for One Health domains are sparse. Mixed-methods CMO (context-mechanism-outcome) analyses support instrument content validity but are rarely integrated directly into measurement refinements or simulation-based power planning. Limitations in prior approaches include limited triangulation across objective and subjective measures, weak handling of missing data and MNAR (missing not at random) scenarios, minimal local geospatial governance detail, and few studies that pre-specify composite scoring and analytic decision rules for local implementation.</w:t>
      </w:r>
    </w:p>
    <w:p>
      <w:r>
        <w:t xml:space="preserve"> </w:t>
      </w:r>
    </w:p>
    <w:p>
      <w:pPr>
        <w:pStyle w:val="Heading2"/>
      </w:pPr>
      <w:r>
        <w:t>Abstract</w:t>
      </w:r>
    </w:p>
    <w:p>
      <w:r>
        <w:t>This study evaluates and predicts One Health core competencies among local-level public health, animal health, and environmental workforce in Nakhon Sawan province using a mixed-methods approach. We integrate self-assessment, standardized outbreak vignettes, and 360°/observation scores into a pre-specified composite competency index and test predictors including organizational support, readiness, motivation, and attitudes. Quantitative analysis employs multilevel linear mixed models (to account for clustering by organization/district), confirmatory factor analysis and SEM (to validate measurement), and Rasch/IRT (to assess item functioning). Qualitative CMO interviews inform item edits and provide contextual priors for simulation-based power analysis. Main contributions are: (1) a reproducible composite scoring algorithm with explicit decision rules; (2) empirical estimates of local ICCs and item parameters to anchor power and design choices; (3) demonstrations of how organizational predictors explain competency variance at multiple levels. Expected outcome is a validated, locally-grounded measurement and prediction pipeline that supports multisector workforce strengthening at the provincial level.</w:t>
      </w:r>
    </w:p>
    <w:p>
      <w:r>
        <w:t xml:space="preserve"> </w:t>
      </w:r>
    </w:p>
    <w:p>
      <w:pPr>
        <w:pStyle w:val="Heading2"/>
      </w:pPr>
      <w:r>
        <w:t>Experiments</w:t>
      </w:r>
    </w:p>
    <w:p>
      <w:r>
        <w:t>Datasets: (A) Field dataset from Nakhon Sawan (existing n=144 respondents with self-report, vignette, 360°/observation, and KII transcripts). (B) Planned expanded field dataset scenarios for simulations: clusters = {30,40,60}; respondents/cluster = {10,15,20}; total N = {300,600,1200}. (C) Synthetic Monte Carlo datasets generated with IRT parameters (discrimination a in 0.4–1.2, difficulty b in −2..+2), cross-source correlations 0.3–0.7, and ICCs per source {self 0.02–0.10, vignette 0.01–0.06, observation 0.05–0.15}. Baselines: (1) self-report only score; (2) objective-only score (vignette + observation); (3) unweighted average of sources; (4) Rasch-derived theta only. Primary models to compare: multilevel linear mixed model (random intercepts by organization/district), confirmatory factor analysis / SEM (latent competency), and Rasch/IRT modeling. Evaluation metrics: model R-squared (explained variance), fixed-effect coefficient estimates and p-values, root mean squared error (RMSE) for out-of-sample prediction, intraclass correlation coefficient (ICC), SEM fit indices (CFI &gt;= 0.95, RMSEA &lt;= 0.06), IRT item discrimination and information, item fit statistics (infit/outfit), DIF detection rate (percent items flagged), and power/type I error from simulations. Experimental setup: (a) Use existing n=144 for exploratory CFA/IRT and to estimate local priors (factor loadings, ICCs, response rates). (b) Run 1,000 Monte Carlo replications per scenario for power curves; seed set for reproducibility. (c) For prediction, use 10-fold cluster-aware cross-validation (clusters preserved) and report mean and SD of RMSE and R-squared. (d) Multiple imputation by chained equations (MICE) with 20 imputations for MAR scenarios; perform delta-adjusted MI for MNAR with delta = {−0.3, −0.2, −0.1, 0, +0.1, +0.2, +0.3} (shift in SD units) and report tipping points. (e) Compare composite weighting schemes: pre-specified 0.4(vignette/observation)+0.4(self)+0.2(360) versus data-driven factor-score weighting; conduct ablation study removing each source in turn (remove 360°, remove vignette/observation, remove self-report) and report change in predictive R-squared and SEM fit. (f) Stepped-wedge power simulations: steps = {4,6,8}, step length = {1,2,3 months}, secular trend shapes = {none, linear, quadratic}, and include treatment-time interaction terms; compute empirical power to detect effect sizes d = {0.25,0.35,0.50} with 1,000 replications. Software and reproducibility: R (packages: lme4, simr/powerlmm, mirt, lavaan), containerized with Docker, code and README in GitHub; random seeds and replication counts documented. Multiple comparison correction: Bonferroni across primary outcomes.</w:t>
      </w:r>
    </w:p>
    <w:p>
      <w:r>
        <w:t xml:space="preserve"> </w:t>
      </w:r>
    </w:p>
    <w:p>
      <w:pPr>
        <w:pStyle w:val="Heading2"/>
      </w:pPr>
      <w:r>
        <w:t>Risk Factors And Limitations</w:t>
      </w:r>
    </w:p>
    <w:p>
      <w:r>
        <w:t>Technical failure modes: unstable IRT/CFA estimates with small sample sizes (parameter non-convergence), and biased multilevel estimates when ICCs are mis-specified. Data biases: social-desirability in self-report, sector-specific interpretation causing differential item functioning (DIF), and MNAR attrition concentrated among overworked frontline staff. Scalability and compute: Monte Carlo and IRT simulations with large replications and many scenarios may require substantial CPU/time. Generalization limits: findings anchored to Nakhon Sawan context and may not transfer to other provinces without re-validation. Operational risks: low cluster participation or high cluster dropout reducing effective sample and power; geolocation opt-outs reducing spatial analyses. Evaluation constraints: small existing sample (n=144) limits precision of locally estimated priors and initial validation; stepped-wedge inference may be biased with few clusters or strong, unknown secular trends.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