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pentahelix_diffusion_makassar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phenomenological mixed-methods evaluation using diffusion-of-innovation analysis to assess pentahelix collaborative governance for protection and socio-economic reintegration of street-connected children in Makassar, Indonesia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pentahelix collaborative governance intervention in Makassar will increase service-contact coverage for street-connected children by at least 10 percentage points and increase the referral-to-completion rate by at least 15 percentage points within 12 months compared to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multi-stakeholder (pentahelix) governance and protection of street-connected children emphasizes collaborative platforms, case management, and youth participation. Computational approaches have applied agent-based models (ABMs) and social network analysis (SNA) to study diffusion of practices across organizations and space. Existing evaluation studies often use case studies or short-term service metrics with weak causal identification. Limitations in current approaches include low statistical power from small or convenience samples, poor SNA response rates in hidden populations, limited out-of-sample validation for ABMs, under-specified priors that reduce identifiability of model parameters, and insufficient legal/data-governance measures for sensitive child data. Few studies combine rigorous qualitative phenomenology with ABM calibration from empirical SNA and cohort data, creating gaps in causal attribution and policy-relevant, validated diffusion predictions.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Street-connected children face protection and reintegration gaps that require coordinated action across government, civil society, business, academia, and media (a pentahelix). This study evaluates whether a pentahelix collaborative intervention in Makassar, Indonesia leads to durable protection and socio-economic reintegration for street-connected children. We use a phenomenological mixed-methods design: in-depth interviews and observations to capture lived experience, repeated cohort surveys and social network analysis (SNA) to measure governance change, and a spatially-explicit agent-based model (ABM) calibrated to empirical data. The main contribution is an integrated evidence pipeline that ties qualitative mechanisms to measurable governance indicators and a calibrated ABM to predict diffusion of protective practices. Expected outcomes include quantified changes in service contact and referral completion, validated ABM scenarios for scale-up, and policy-ready governance indicators. Results will inform how multi-stakeholder configurations and youth participation influence practical uptake of protection measures in urban settings.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Cohort survey of street-connected children: target n≈200 children per district across 8–12 purposive districts (total n≈1,600–2,400) with baseline, 6, 12, 24 month waves. Variables: service contacts, referrals, school enrolment/30-day attendance, reported protection incidents, psychosocial wellbeing (adapted SDQ), trust index, housing/stability days. (2) Governance SNA: 30–50 governance actors per district per wave using roster/name-generator tied to district boundaries. (3) Qualitative: 60–100 phenomenological interviews and 120+ observation sessions across sites. (4) Routine administrative service data for time-series outcomes. Baselines: pre-intervention measurements in all districts; 2–3 hold-out districts reserved for ABM validation. Design and rollout: stepped-wedge cluster rollout across districts staggered by waves; randomize wave order where politically feasible. Sample-size and power: use design-effect formula DE=1+(m-1)ICC with m≈200 and ICC grid 0.01–0.10; report MDEs in absolute percentage points for binary outcomes at prevalences p=0.20,0.50,0.80. Evaluation metrics: primary—service-contact coverage (% with ≥1 protective contact in prior 6 months), referral-to-completion rate (% completed ≤30 days), education access (enrolment + 30-day attendance), reported protection incidents per 1,000. Secondary—SDQ score (continuous), trust-in-institutions index (continuous), housing/stability days (count). Statistical tests and estimators: mixed-effects generalized linear models with random intercepts for district and wave; stepped-wedge Hussey-Hughes GLMM where randomized; difference-in-differences with district and time fixed effects for non-randomized rollouts; permutation tests and wild cluster bootstrap for inference when cluster counts are small; Rosenbaum bounds for unobserved confounding. ABM calibration: specify agent types and priors, estimate identifiable parameters via Approximate Bayesian Computation - Sequential Monte Carlo (ABC-SMC) using cohort and SNA-derived priors; goodness-of-fit via RMSE on time-series, network metric distance (density, betweenness distribution), and posterior predictive checks; hold-out validation on reserved districts. Comparisons and ablations: (A) Compare districts with formal youth voting/advisory roles (youth participation) vs districts where youth input is advisory-only to measure youth participation effect. (B) Ablation of ABM: run calibration with and without SNA-informed priors to assess SNA contribution to parameter identifiability. Missing data: multiple imputation (MI) with MNAR sensitivity bounds. Open-science: pre-register analysis plan and ABM spec; publish code and de-identified data under DUA after embargo.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Recruitment and SNA nonresponse: street-connected populations are mobile and hidden; actor response may fall below planned ≥70%, producing biased networks and lower power. Data quality and measurement bias: self-reporting and administrative records may be incomplete or inconsistent. Unobserved confounding: quasi-experimental comparisons may not fully remove bias; causal claims can be limited. ABM identifiability: some parameters (e.g., individual adoption thresholds) may not be estimable from planned data and will require fixing or strong priors; this reduces inference about mechanisms. Compute and scalability: ABC-SMC calibration can require large CPU/GPU hours and storage, stretching budgets. Legal and ethical risk: guardian-waiver scenarios create legal exposure and may delay fieldwork. Generalization limits: results from Makassar and purposive districts may not transfer to other Indonesian cities or countries. Small cluster counts: statistical inference with few clusters risks low reliability and requires specialized inference (wild bootstrap, permutation) but still limits precision. No mitigation strategies are listed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