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legal_pluralism_ikn</w:t>
      </w:r>
    </w:p>
    <w:p>
      <w:r>
        <w:t xml:space="preserve"> </w:t>
      </w:r>
    </w:p>
    <w:p>
      <w:pPr>
        <w:pStyle w:val="Heading2"/>
      </w:pPr>
      <w:r>
        <w:t>Title</w:t>
      </w:r>
    </w:p>
    <w:p>
      <w:r>
        <w:t>Qualitative case study of legal pluralism and interethnic land conflict in the Nusantara (IKN) capital development area</w:t>
      </w:r>
    </w:p>
    <w:p>
      <w:r>
        <w:t xml:space="preserve"> </w:t>
      </w:r>
    </w:p>
    <w:p>
      <w:pPr>
        <w:pStyle w:val="Heading2"/>
      </w:pPr>
      <w:r>
        <w:t>Short Hypothesis</w:t>
      </w:r>
    </w:p>
    <w:p>
      <w:r>
        <w:t>Higher spatial overlap between statutory cadastral claims and customary participatory claims causes higher rates of interethnic land conflict, controlling for migrant population density and recent land-cover change.</w:t>
      </w:r>
    </w:p>
    <w:p>
      <w:r>
        <w:t xml:space="preserve"> </w:t>
      </w:r>
    </w:p>
    <w:p>
      <w:pPr>
        <w:pStyle w:val="Heading2"/>
      </w:pPr>
      <w:r>
        <w:t>Related Work</w:t>
      </w:r>
    </w:p>
    <w:p>
      <w:r>
        <w:t>Prior work combines legal pluralism theory, ethnographic fieldwork, participatory mapping, and remote sensing to study land conflict. Ethnography documents how customary law and migration change local relations; participatory GIS produces community maps used for recognition; remote sensing tracks land-cover change tied to disputes; and economic and spatial-statistical work quantifies drivers of conflict. Limitations remain: many studies use single-method designs (only ethnography or only GIS) limiting causal claims; data governance and community data-sovereignty are often under-specified; spatial privacy (anonymity) and legal-admissibility of maps are rarely reconciled; most analyses lack rigorous power/simulation for clustered field designs; and few projects provide executable workflows for converting participatory maps into formal dossiers under national agencies. Existing methods thus leave open how overlapping tenure systems, migration flows, and interethnic relations jointly produce measurable conflict and how participatory recognition changes outcomes.</w:t>
      </w:r>
    </w:p>
    <w:p>
      <w:r>
        <w:t xml:space="preserve"> </w:t>
      </w:r>
    </w:p>
    <w:p>
      <w:pPr>
        <w:pStyle w:val="Heading2"/>
      </w:pPr>
      <w:r>
        <w:t>Abstract</w:t>
      </w:r>
    </w:p>
    <w:p>
      <w:r>
        <w:t>This study investigates how migration, overlapping statutory and customary land claims, and interethnic relations drive land conflict in the Nusantara (IKN) capital development area using a focused qualitative case-study design combined with spatial and survey data. We will conduct in-depth interviews, participant observation, participatory boundary mapping with GNSS traces, a household survey in 3–4 pilot sites (300–500 households per pilot), a grievance registry, and satellite time series. The main contribution is an integrated, reproducible workflow that links thematic qualitative analysis to spatial overlap metrics and causal inference strategies (staggered difference-in-differences and spatial models). Expected outcomes include a falsifiable test of whether claim overlap predicts conflict incidence, validated procedural templates (FPIC script, DSA, dossier checklist), and an empirically grounded description of how recognition interventions alter grievance trajectories. Results will inform legally defensible participatory mapping, evidence-based mediation, and policy pathways for tenure recognition in the IKN development zone.</w:t>
      </w:r>
    </w:p>
    <w:p>
      <w:r>
        <w:t xml:space="preserve"> </w:t>
      </w:r>
    </w:p>
    <w:p>
      <w:pPr>
        <w:pStyle w:val="Heading2"/>
      </w:pPr>
      <w:r>
        <w:t>Experiments</w:t>
      </w:r>
    </w:p>
    <w:p>
      <w:r>
        <w:t>Datasets: (1) Participatory polygons and GNSS tracklogs per village; (2) household surveys (300–500 households per pilot) with tenure history, grievance events, ethnicity, migration status; (3) grievance registry (time-stamped complaints); (4) cadastral parcels, concession/permit layers, and RTRW spatial plans from government sources; (5) Sentinel-2 time series and selected high-resolution PlanetScope/drone imagery; (6) interview transcripts and field notes. Baselines: (A) villages with statutory-only mapping (no participatory mapping/recognition); (B) villages with participatory mapping but no formal recognition; (C) temporal pre-intervention periods. Metrics: grievance incidence rate (new complaints per 100 households per year), time-to-resolution (days), overlap index (area of intersecting statutory and customary polygons divided by village area), perceived tenure-security score (Likert average), land-cover-change rate (% forest loss per year), and female participation rate (%). Experimental setup: cluster sample design (30 clusters per pilot, 10–15 households per cluster). Statistical analyses: primary tests use staggered difference-in-differences (DiD) with unit and time fixed effects and clustered standard errors; event-study dynamics using Callaway &amp; Sant’Anna and Sun &amp; Abraham estimators; spatial econometric models (spatial lag and spatial error) to capture spatial dependence; mixed-effects models for household-level outcomes; synthetic control where few treated units exist. Qualitative analysis: thematic coding of interview transcripts, linking coded narratives to polygon metadata. Ablation studies: (1) remove GIS overlap measure to assess added explanatory power; (2) compare results with and without legal-recognition intervention; (3) vary differential-privacy noise levels (epsilon values) applied to household coordinates and test impact on statistical power and overlap index; (4) drop satellite-derived land-cover covariates to test confounding. Power and simulations: run Monte Carlo simulations across ICC values {0.03,0.05,0.10}, cluster counts {20,30,40}, household counts {300,400,500}, and attrition rates {0%,10%,20%}; produce minimum detectable effects (MDEs) and attach code repository (OSF) with scripts for reproducibility. Validation: joint community validation workshops to reconcile mapped boundaries and to ground-truth hotspot results.</w:t>
      </w:r>
    </w:p>
    <w:p>
      <w:r>
        <w:t xml:space="preserve"> </w:t>
      </w:r>
    </w:p>
    <w:p>
      <w:pPr>
        <w:pStyle w:val="Heading2"/>
      </w:pPr>
      <w:r>
        <w:t>Risk Factors And Limitations</w:t>
      </w:r>
    </w:p>
    <w:p>
      <w:r>
        <w:t>Technical: GNSS accuracy may exceed legal thresholds (goal: sub-meter, acceptable ≤3 m), causing misalignment with cadastral maps. Differential privacy (DP)—a method to add noise to coordinates to protect privacy—will reduce spatial accuracy; chosen epsilon (privacy parameter) may trade off legal-admissibility. Satellite imagery cloud cover or licensing limits may reduce temporal coverage. Data and evaluation biases: sampling may under-represent mobile migrants or hidden claimants; social desirability may bias survey responses; ethnographic access could be limited by local politics. Scalability and compute: high-resolution imagery and spatial econometric models need significant processing power; large simulations for power analysis may be compute-intensive. Legal and political limits: BPN or KLHK may reject dossiers on technical or political grounds; DSAs and escrow arrangements may have uncertain enforceability under changing local alliances. Attrition and nonresponse: household dropout or refusal may reduce power and bias estimates. Generalization limits: results from 3–4 pilots in East Kalimantan may not generalize to other Indonesian regions or countries with different legal regimes. Ethical/regulatory: IRB and local ethics committee delays can postpone fieldwork; FPIC withdrawals may require removal of unpublished layers, reducing usable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