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jordan_constitutional_oversight_index</w:t>
      </w:r>
    </w:p>
    <w:p>
      <w:r>
        <w:t xml:space="preserve"> </w:t>
      </w:r>
    </w:p>
    <w:p>
      <w:pPr>
        <w:pStyle w:val="Heading2"/>
      </w:pPr>
      <w:r>
        <w:t>Title</w:t>
      </w:r>
    </w:p>
    <w:p>
      <w:r>
        <w:t>Index-based mixed-methods study using NLP and comparative analysis to measure oversight of the constitutionality of laws in Jordan</w:t>
      </w:r>
    </w:p>
    <w:p>
      <w:r>
        <w:t xml:space="preserve"> </w:t>
      </w:r>
    </w:p>
    <w:p>
      <w:pPr>
        <w:pStyle w:val="Heading2"/>
      </w:pPr>
      <w:r>
        <w:t>Short Hypothesis</w:t>
      </w:r>
    </w:p>
    <w:p>
      <w:r>
        <w:t>Broader statutory standing rules cause an increase in the number of individual-initiated constitutional challenges filed in Jordan.</w:t>
      </w:r>
    </w:p>
    <w:p>
      <w:r>
        <w:t xml:space="preserve"> </w:t>
      </w:r>
    </w:p>
    <w:p>
      <w:pPr>
        <w:pStyle w:val="Heading2"/>
      </w:pPr>
      <w:r>
        <w:t>Related Work</w:t>
      </w:r>
    </w:p>
    <w:p>
      <w:r>
        <w:t>Existing work on constitutional oversight combines doctrinal analysis, institutional measures, and some quantitative coding; comparative studies highlight variation in locus, timing, remedies, and standards across systems. Recent legal-informatics research applies natural language processing (NLP) to judicial texts to extract doctrinal patterns and automate coding, but most NLP work focuses on English or Modern Standard Arabic (MSA) and lacks large annotated corpora for Arabic judicial registers. Empirical studies of enforcement emphasize case outcomes but rarely measure time-to-compliance or executive follow-through systematically. Institutional analyses often treat formal rules (appointment, tenure) without quantifying informal political leverage (reshuffles, budget dependence). Limitations: sparse Arabic annotations, ad hoc composite indices with arbitrary weights, weak attention to enforcement timelines, limited use of political-proxy variables, and few preregistered, reproducible coding protocols that combine NLP, process-tracing, and survival analysis.</w:t>
      </w:r>
    </w:p>
    <w:p>
      <w:r>
        <w:t xml:space="preserve"> </w:t>
      </w:r>
    </w:p>
    <w:p>
      <w:pPr>
        <w:pStyle w:val="Heading2"/>
      </w:pPr>
      <w:r>
        <w:t>Abstract</w:t>
      </w:r>
    </w:p>
    <w:p>
      <w:r>
        <w:t>This project measures how constitutional oversight of laws operates in Jordan after the 2011 constitutional amendments by building an auditable Oversight Index and testing whether access rules change challenge incidence and enforcement. We combine a coded rubric (six dimensions: locus, timing, access, remedies, standards, institutional embedding), supervised Arabic NLP for text-labeling, structured interviews, and comparative coding of US, France, and Egypt to contextualize findings. Main contributions are (1) an auditable, pre-registered index with explicit sub-indicators and alternative weighting; (2) a validated Arabic NLP pipeline for extracting doctrinal signals from judgments (trained on annotated sentences and case labels); and (3) quantitative tests of annulment likelihood and time-to-compliance using logistic and survival models with political-proxy covariates. The expected outcome is a reproducible measurement and causal assessment showing how standing and institutional embedding shape constitutional challenges and compliance in Jordan, with cross-country benchmarks to inform interpretation and policy discussion.</w:t>
      </w:r>
    </w:p>
    <w:p>
      <w:r>
        <w:t xml:space="preserve"> </w:t>
      </w:r>
    </w:p>
    <w:p>
      <w:pPr>
        <w:pStyle w:val="Heading2"/>
      </w:pPr>
      <w:r>
        <w:t>Experiments</w:t>
      </w:r>
    </w:p>
    <w:p>
      <w:r>
        <w:t>Datasets: 1) Full corpus of Jordan Constitutional Court decisions and related ordinary-court Constitutional review filings (target N = all available decisions since 2011); 2) Official legislative texts and executive orders (Jordan Official Gazette); 3) Annotated training set: ~1,000 sentence-level labels and 200–300 case-level labels (doctrinal standard, remedy type, standing actor); 4) Comparator corpora: matched samples of constitutional decisions from US (Supreme Court opinions), France (Conseil constitutionnel/Conseil d'État decisions), and Egypt. Preprocessing: normalize Arabic orthography, separate Modern Standard Arabic (MSA) vs. register/dialect, sentence-split legal reasoning. Train/val/test splits: 70/15/15 at case-level. Baselines: (A) manual-only index derived from human coders; (B) equal-weight composite index; (C) PCA-derived weighting; (D) rule-based keyword classifier for labels. Models: fine-tune AraBERT (Arabic BERT) for sentence classification (labels: standard_primary, remedy_primary, intl_ref), compare to mBERT and XLM-R; use logistic regression (with clustered SEs) for annulment probability (binary outcome); Cox proportional hazards model (survival model for time-to-compliance; explains: models time until an event) for days-to-compliance; multilevel models (random intercepts for institution and provision) to account for nesting. Evaluation metrics: per-label precision/recall/F1 (macro and micro), Krippendorff's alpha for intercoder reliability (ICR), AUC-ROC for logistic, concordance index (C-index) for Cox, RMSE/MAE for count models, median time-to-compliance and hazard ratios with 95% CI. Ablation and comparisons: 1) Remove political-proxy variables (reshuffle frequency, budget dependence) to test explanatory contribution; 2) compare equal-weight vs PCA-derived index weights; 3) compare AraBERT vs mBERT vs rule-based classifiers; 4) exclude emergency-context cases to assess context sensitivity. Power and simulation inputs: assumed baseline annulment rate p0 = 0.20, target OR = 1.5, two-sided alpha = 0.05, simulate cluster ICC range 0.01–0.05 to estimate required N (preliminary target N ~1,000 observations for logistic power). Reporting: preregister all models, controls (case complexity, litigant type, provision category, year fixed effects), robustness checks, and multiple comparisons corrections.</w:t>
      </w:r>
    </w:p>
    <w:p>
      <w:r>
        <w:t xml:space="preserve"> </w:t>
      </w:r>
    </w:p>
    <w:p>
      <w:pPr>
        <w:pStyle w:val="Heading2"/>
      </w:pPr>
      <w:r>
        <w:t>Risk Factors And Limitations</w:t>
      </w:r>
    </w:p>
    <w:p>
      <w:r>
        <w:t>1) Data access: restricted or redacted decisions or delayed clearances may reduce sample size and bias coverage toward public cases. 2) Annotation limits: Arabic judicial register and dialectal variation may reduce NLP performance; small label counts for rare remedies limit supervised accuracy. 3) Measurement error: enforcement signals (decree publication, budget activation) may be missing or noisy, producing biased time-to-compliance estimates. 4) Non-independence: clustering by provision, court, or institution requires multilevel models; high intra-cluster correlation reduces effective sample size. 5) Causal identification: proposed instruments (reshuffles, budget shocks) may violate exogeneity assumptions (they may correlate with unobserved political factors). 6) Generalization: findings will be most applicable to Jordan and selected comparators; results may not generalize to different legal families. 7) Compute and scalability: fine-tuning large Arabic models requires GPU resources; budget limits may constrain hyperparameter search and full cross-validation. 8) Ethical/legal constraints: publication may require redaction and legal review, limiting transparency of sensitive excerpts. 9) Statistical multiple testing: many outcomes and sub-indicators increase false-positive risk without strict correction and preregistration. 10) Timeline risk: achieving high intercoder reliability (Krippendorff's alpha ≥0.80) and NLP F1 ≥0.80 may need more annotator iterations than planned.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