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circular_osh_ecosystem_pilot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cluster-randomized evaluation of a circular-ecosystem intervention design to reduce occupational injuries and exposures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Workplaces receiving OSH interventions designed and managed using a circular-ecosystem perspective will experience a larger reduction in documented work-related injury incidence per 100,000 full-time equivalents (FTE) at 12 months than workplaces receiving conventionally designed OSH interventions.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occupational safety and health (OSH) interventions fall into several families: single-action engineering or PPE solutions, behavior-change training, and implementation frameworks that focus on adoption (for example, CFIR and RE-AIM). Systems and modeling work (agent-based models, network analyses) have been used to explore dynamics but are often disconnected from routine intervention design. Prior mixed-methods studies emphasize local context but typically treat design, implementation, evaluation, and follow-up as separate steps. Common limitations are: narrow actor scope (employer or worker only), linear lifecycle assumptions (design→implement→evaluate without feedback loops), weak operationalization of fidelity and mechanistic targets, poor cross-national comparability, and limited handling of spillovers (contamination) and precarious worker protections. These gaps reduce ability to predict scalability, equity impacts, and long-term maintenance across diverse regulatory contexts.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a circular-ecosystem approach to designing occupational safety and health (OSH) interventions improves worker safety and exposure outcomes compared with conventional designs. The circular-ecosystem approach treats intervention development as a looping process across phases (design, implementation, evaluation, follow-up) and explicitly incorporates five ecosystem elements: value, actors, data/materials/flows, circular activities/strategies, and governance. We propose a cluster-randomized pilot comparing sites that use ecosystem-guided intervention packages versus standard packages across multiple countries and sectors. Main contribution: operational specification of the circular-ecosystem lens with measurable core functions, fidelity thresholds, decision rules, and a reproducible analytic plan linking process data, sensor-based exposure measures, and injury records. Expected outcome: demonstrable improvement in primary safety outcomes and process fidelity at 12 months, plus a validated pilot toolkit (fidelity checklists, data schema, ABM priors) to support scalable trials and policy-relevant interpretation across regulatory contexts.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Design: cluster-randomized trial at establishment level. Arms: (A) circular-ecosystem-designed intervention, (B) conventionally designed intervention (standard-of-care). Clusters and sectors: recruit 8–12 clusters per arm for pilot (each cluster = establishment) across 3–4 sector-country pairs (e.g., manufacturing, construction, healthcare) with 30–50 workers per cluster. Datasets: (1) administrative injury logs (documented work-related injuries with FTE denominators), (2) sensor-derived objective exposure time-series (noise dosimeters, particle counters, VOC monitors) with calibration metadata, (3) worker surveys (validated psychosocial scales), (4) process/fidelity logs and maintenance uptime, (5) network/contact logs for spillover analysis. Baselines: pre-intervention 12-month injury incidence per cluster. Primary outcome: rate ratio of documented work-related injuries per 100,000 FTE at 12 months. Secondary outcomes: mean change in exposure concentration (µg/m3 or dB), days-away-from-work rate, near-miss rate, standardized mean change on psychosocial scale, cost per averted injury. Statistical models: pre-specified cluster-level mixed-effects negative-binomial GLMM (random intercept by cluster, log-FTE offset) for primary outcome; report rate ratios and 95% CIs. Robustness checks: GEE cluster-robust estimator, zero-inflated NB for sparse counts, permutation tests for very small samples. Causal estimands: average treatment effect on the treated (cluster-level ATE) and complier-average causal effect (CACE) when adherence varies. Missing data: multiple imputation (MI) and inverse-probability weighting (IPW); sensitivity with pattern-mixture and MNAR tipping-point analyses. Spillover estimation: two-stage randomization where feasible or exposure-mapping estimators using collected network ties; include power scenarios for spillover detection. Power/sample-size: pilot uses 8–12 clusters/arm to estimate ICCs (evaluate ICCs 0.01, 0.03, 0.05); full trial planning tables pre-registered for ICCs 0.01–0.05 and cluster sizes 30–100 to detect a 20% incidence reduction with 80% power. Ablations and comparisons: (1) remove governance mapping to test governance contribution, (2) remove actor-mapping/participatory adaptation to test role of multi-actor design, (3) ABM-informed adaptive decision rules vs static rollout. Evaluation metrics: primary rate ratio, exposure concentration change (absolute and percent), fidelity percentage (proportion of core functions met), maintenance uptime (%), inter-rater reliability (kappa for fidelity checks), ABM goodness-of-fit (RMSE, KS), and ROI (cost per averted injury). Pre-registration: register full analysis code skeleton, sample-size assumptions, estimands, alpha allocation for multiple comparisons, and interim analysis plan.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failures: sensor downtime, calibration drift, and inconsistent sensor models across sites may bias exposure estimates; legal/data constraints may prevent cross-border data transfer or limit individual-level data sharing; small pilot cluster counts limit precision and generalizability and may lead to unstable ICC estimates; contamination and spillover between clusters can bias estimated effects if network ties are strong and not measured; heterogeneous baseline risks and regulatory environments reduce external validity across countries; recruitment and differential missingness among precarious workers can create selection bias; ABM identifiability: key model parameters may remain poorly constrained when empirical inputs are sparse; anti-retaliation risks may suppress accurate reporting of outcomes; resource limits (budget, spare parts, maintenance) can reduce fidelity and uptime; statistical limits: rare-event outcomes may require alternative estimators and reduce power; ethical and jurisdictional variability may delay approvals and data access.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