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school_community_network_pilot</w:t>
      </w:r>
    </w:p>
    <w:p>
      <w:r>
        <w:t xml:space="preserve"> </w:t>
      </w:r>
    </w:p>
    <w:p>
      <w:pPr>
        <w:pStyle w:val="Heading2"/>
      </w:pPr>
      <w:r>
        <w:t>Title</w:t>
      </w:r>
    </w:p>
    <w:p>
      <w:r>
        <w:t>Simulation-based social network evaluation of a matched phased rollout to increase school–community collaboration and trust</w:t>
      </w:r>
    </w:p>
    <w:p>
      <w:r>
        <w:t xml:space="preserve"> </w:t>
      </w:r>
    </w:p>
    <w:p>
      <w:pPr>
        <w:pStyle w:val="Heading2"/>
      </w:pPr>
      <w:r>
        <w:t>Short Hypothesis</w:t>
      </w:r>
    </w:p>
    <w:p>
      <w:r>
        <w:t>A matched phased rollout of structured school–community partnership activities increases school-community network density and the mean trust score among participating stakeholders at 9–12 months compared to matched control schools.</w:t>
      </w:r>
    </w:p>
    <w:p>
      <w:r>
        <w:t xml:space="preserve"> </w:t>
      </w:r>
    </w:p>
    <w:p>
      <w:pPr>
        <w:pStyle w:val="Heading2"/>
      </w:pPr>
      <w:r>
        <w:t>Related Work</w:t>
      </w:r>
    </w:p>
    <w:p>
      <w:r>
        <w:t>Existing work combines community-school models (integrated supports, expanded learning, family engagement, collaborative leadership) with social network analysis (SNA) and mixed-effects outcomes to study partnerships. Past evaluations often use stepped-wedge or cluster designs for causal inference, and use trust scales and simple network metrics (density, centrality). Limitations include reliance on rule-of-thumb power calculations rather than simulation-based power for network models; sparse attention to SNA measurement choices (directed vs. weighted ties, truncation, roster vs. free recall); limited psychometric pipelines for trust scales across languages and respondent types; weak specification of SAOM/TERGM structural terms and estimands; and inadequate practical data-governance and FERPA/IDEA linkage details. These gaps reduce confidence in detecting relational change, inferences about marginalized actors, and the ethical handling of identifiable network data.</w:t>
      </w:r>
    </w:p>
    <w:p>
      <w:r>
        <w:t xml:space="preserve"> </w:t>
      </w:r>
    </w:p>
    <w:p>
      <w:pPr>
        <w:pStyle w:val="Heading2"/>
      </w:pPr>
      <w:r>
        <w:t>Abstract</w:t>
      </w:r>
    </w:p>
    <w:p>
      <w:r>
        <w:t>Problem: Schools and local communities often fail to form lasting, equitable partnerships because implementation is ad hoc and evaluations do not capture relational change. Approach: We propose a matched phased rollout of structured partnership activities across multiple schools, measured with repeated social network surveys and trust scales, and evaluated using mixed-effects models plus longitudinal network models. Main contribution: We pair simulation-based power analysis for network models (to set sample size and detection thresholds) with a pre-registered statistical plan that specifies mixed-effects estimands and SAOM/TERGM structural terms; we also test measurement invariance of trust scales and compare SNA measurement options (directed/weighted ties, truncation, roster vs free recall). Expected outcome: Clear, reproducible evidence on whether structured partnership activities causally increase network density and stakeholder trust, with practical guidance on measurement, power, and data governance for scalable policy use.</w:t>
      </w:r>
    </w:p>
    <w:p>
      <w:r>
        <w:t xml:space="preserve"> </w:t>
      </w:r>
    </w:p>
    <w:p>
      <w:pPr>
        <w:pStyle w:val="Heading2"/>
      </w:pPr>
      <w:r>
        <w:t>Experiments</w:t>
      </w:r>
    </w:p>
    <w:p>
      <w:r>
        <w:t>Datasets: Pilot data from 8–12 matched school clusters (treatment vs delayed control), repeated at baseline, midline (4–6 months), endline (9–12 months); participant surveys (name-generator SNA, 6-item trust scale), administrative data (enrollment, attendance, Title I status), and meeting logs. Required coverage: aim ≥70% respondent coverage per school for SNA. Baselines: delayed-start matched schools (same rollout but later) and within-school pre-post baseline. Evaluation metrics: primary — network density (proportion of possible ties present), mean trust score (mean of 6-item Likert scale); secondary — marginalized-actor degree/eigenvector percentile, Partner Diversity Index (normalized Shannon entropy), percent decisions with community co-chair, reciprocity rate. Models and estimands: (1) Mixed-effects linear model for trust: trust_ij = β0 + β1*Intervention_ij + β2*Time_t + X_ijγ + u_school_j + ε_ij, where u_school_j ~ N(0,σ2_u) (random intercept by school), X covariates include school size and SES proxies; primary estimand β1 is average treatment effect on trust. (2) Network-level mixed model for density: density_jt = α0 + α1*Intervention_jt + α2*Time_t + v_j + η_jt. (3) Longitudinal SAOM (stochastic actor-oriented model) terms: outdegree (baseline tendency to form ties), reciprocity, transitive triplets (closure), homophily on marginalized status, and actor covariates (liaison presence, sector). Note: SAOM models simulate tie changes driven by actor choices; we will report parameter estimates and predicted change in centrality. (4) TERGM (temporal exponential random graph model) covariates: edges, nodematch(sector), nodecov(trust), reciprocity, and time dummies; used as robustness check to SAOM. Power and sample checks: run simulation-based power analyses for SAOM/TERGM varying effect sizes (density change corresponding to d=0.3–0.5), ICC 0.01–0.08, response rates 60%–85%, and missingness mechanisms (MCAR, MAR, MNAR); report detection thresholds for density and centrality. Measurement experiments (ablation): compare (A) directed vs undirected ties, (B) weighted ties (frequency 1–3) vs binary, (C) truncation at 8 vs 12 names, (D) roster-assisted vs free-recall name generators, and (E) name-listing vs name-free relational counts. Psychometrics: run EFA then CFA on trust items; test measurement invariance across languages and respondent types (configural, metric, scalar); sample rules: pilot N≈200 for EFA/CFA, test-retest n≈50. Robustness checks: cluster-robust SEs, random slopes for time by school, multiple imputation (MICE) for missing survey items, inverse probability weighting for attrition, sensitivity to alternative ICC and coverage assumptions. Deduplication and data handling: define exact algorithm for merging name variants and reconciling organization vs individual entries; compare results with and without aggressive deduplication. Reporting: pre-register estimands, model forms, and all simulation parameters before analysis.</w:t>
      </w:r>
    </w:p>
    <w:p>
      <w:r>
        <w:t xml:space="preserve"> </w:t>
      </w:r>
    </w:p>
    <w:p>
      <w:pPr>
        <w:pStyle w:val="Heading2"/>
      </w:pPr>
      <w:r>
        <w:t>Risk Factors And Limitations</w:t>
      </w:r>
    </w:p>
    <w:p>
      <w:r>
        <w:t>Technical failure modes: SAOM/TERGM may not converge or produce unstable estimates when node counts per network are small or coverage &lt;70%; simulation assumptions may not reflect real-world missingness. Data and evaluation biases: nonrandom participation by marginalized groups may bias centrality and trust estimates; social desirability may inflate trust scores. Measurement limits: truncation (limit on number of names) can undercount ties and bias degree centrality; roster vs free-recall differences affect comparability. Psychometric limits: trust scale may lack invariance across languages or respondent roles, invalidating comparisons. Scalability and compute: longitudinal network models and simulation-based power analyses require substantial compute for many parameter sweeps; large-scale runs may be slow. Generalization: findings from 8–12 pilots in a specific district or region may not generalize to different policy contexts, school sizes, or cultures. Legal and privacy constraints: FERPA/IDEA linkage and district approvals may restrict use of administrative data or name-listing, reducing achievable coverage. Operational limits: district calendar, IRB delays, or stalled approvals for stipends/microgrants can delay data collection windows and reduce power.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