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perceived_obstacles_marriage_physical_disability</w:t>
      </w:r>
    </w:p>
    <w:p>
      <w:r>
        <w:t xml:space="preserve"> </w:t>
      </w:r>
    </w:p>
    <w:p>
      <w:pPr>
        <w:pStyle w:val="Heading2"/>
      </w:pPr>
      <w:r>
        <w:t>Title</w:t>
      </w:r>
    </w:p>
    <w:p>
      <w:r>
        <w:t>Cross-sectional survey and psychometric analysis of perceived obstacles to marriage among adults with physical disabilities</w:t>
      </w:r>
    </w:p>
    <w:p>
      <w:r>
        <w:t xml:space="preserve"> </w:t>
      </w:r>
    </w:p>
    <w:p>
      <w:pPr>
        <w:pStyle w:val="Heading2"/>
      </w:pPr>
      <w:r>
        <w:t>Short Hypothesis</w:t>
      </w:r>
    </w:p>
    <w:p>
      <w:r>
        <w:t>Higher perceived disability-related stigma causes lower marriage intention among adults with physical disabilities after adjusting for age, gender, socioeconomic status, and social support.</w:t>
      </w:r>
    </w:p>
    <w:p>
      <w:r>
        <w:t xml:space="preserve"> </w:t>
      </w:r>
    </w:p>
    <w:p>
      <w:pPr>
        <w:pStyle w:val="Heading2"/>
      </w:pPr>
      <w:r>
        <w:t>Related Work</w:t>
      </w:r>
    </w:p>
    <w:p>
      <w:r>
        <w:t>Existing research has used surveys and qualitative methods to document barriers to marriage for persons with physical disabilities, focusing on stigma, structural barriers, psychological factors, and economic constraints. Prior quantitative studies commonly report means, standard deviations, and group comparisons (e.g., ANOVA) and use instruments such as the Washington Group Short Set for screening and stigma or social-support scales for predictors. Limitations in current approaches include small or convenience samples that reduce generalizability, incomplete accessibility accommodations across modalities (e.g., sign language, Braille), limited psychometric validation across disability subgroups and modes, sparse attention to measurement invariance (whether items work the same for different groups), inadequate handling of nonrandom missing responses on sensitive items, and weak specification of causal questions and sensitivity analyses. Respondent-driven sampling (RDS) or hybrid sampling has been proposed but analytic choices and their effects on design effect and weighting are often not pre-specified in prior work.</w:t>
      </w:r>
    </w:p>
    <w:p>
      <w:r>
        <w:t xml:space="preserve"> </w:t>
      </w:r>
    </w:p>
    <w:p>
      <w:pPr>
        <w:pStyle w:val="Heading2"/>
      </w:pPr>
      <w:r>
        <w:t>Abstract</w:t>
      </w:r>
    </w:p>
    <w:p>
      <w:r>
        <w:t>This study measures and models perceived obstacles to marriage among adults with physical disabilities using a structured cross-sectional survey and rigorous psychometric evaluation. We administer a 22-item instrument covering physical-disability-related, psychological, support-system/social, and economic domains to a pilot sample (n=50–100) for instrument validation and then to a main sample (target n=800). The approach combines descriptive statistics, confirmatory factor analysis (CFA) to test scale structure, item-response diagnostics (to detect biased items), and multivariable regression and mediation models to test whether perceived stigma reduces marriage intentions, controlling for covariates. We evaluate measurement invariance across disability types and data-collection modes (e.g., interview, sign-language, Braille). Main contributions are: a validated, accessible measure of perceived marriage obstacles; explicit analytic plans for weighting and missing-data sensitivity; and clear, pre-registered hypotheses with power estimates. Expected outcomes include robust, generalizable estimates of key barriers, validated domain and composite scores usable in policy monitoring, and reproducible analysis pipelines to support ethical, accessible research on marriage outcomes for persons with physical disabilities.</w:t>
      </w:r>
    </w:p>
    <w:p>
      <w:r>
        <w:t xml:space="preserve"> </w:t>
      </w:r>
    </w:p>
    <w:p>
      <w:pPr>
        <w:pStyle w:val="Heading2"/>
      </w:pPr>
      <w:r>
        <w:t>Experiments</w:t>
      </w:r>
    </w:p>
    <w:p>
      <w:r>
        <w:t>Datasets: 1) Pilot validation dataset: n=50–100 diverse participants (mobility, sensory, onset) across modalities for cognitive testing and pilot psychometrics. 2) Main survey dataset: target n=800 adults with physical disabilities (age 18–49 or locally adjusted), stratified by disability type, gender, and urban/rural; fallback hybrid sampling (probability sample if registers available; otherwise RDS+quota). 3) Synthetic/bootstrapped replicates to evaluate power under alternative design effects. Baselines: a) domain-sum scoring (four domain sums), b) single-item global barrier measure, c) latent-factor scores from CFA, d) unweighted analyses vs weighted analyses using RDS estimators. Evaluation metrics: - Reliability: Cronbach's alpha (internal consistency). - Factor fit: CFA RMSEA (root mean square error of approximation), CFI (comparative fit index) and SRMR (standardized root mean square residual). (CFA is a test that checks whether items group into expected factors.) - IRT: item information functions and DIF (differential item functioning) tests to detect items that behave differently across groups or modes. (DIF means an item gives different information for different groups.) - Construct validity: correlations between domain scores and related constructs (social support, economic status). - Effect sizes: Cohen's d for group contrasts, odds ratios (OR) and adjusted regression coefficients for associations with marriage intention. - Power/MDE: compute minimum detectable effects for N=600, 800, 1,000 under design-effect scenarios DE=1.3,1.5,1.8. - Missing-data diagnostics: fraction missing by item, Little's test for MCAR, comparison of responders vs nonresponders. Experimental setup: 1) Psychometric pipeline (pilot): translate/adapt items; cognitive interviews; run CFA on pilot to test 4-domain model; compute Cronbach's alpha; perform IRT and DIF analyses by modality and disability type; revise items. 2) Main data collection: apply accessibility modes; collect standard covariates (age, gender, SES, WG-SS screening, social support scale). 3) Primary analysis (pre-registered): construct composite score by summing 0–4 Likert items, normalize to 0–100; threshold ≥40 for '≥moderate' (validate threshold empirically using pilot ROC or percentile rules). 4) Inferential models: linear regression for continuous composite; logistic regression for binary threshold; include covariates and cluster-robust SEs for site clustering. 5) Mediation and moderation: test mediation of stigma → marriage intention via social support and economic constraint using bootstrap CIs (5,000 samples). 6) Weighting and RDS analyses: when RDS used, apply Gile's successive-sampling estimator (SS) and RDS-II as sensitivity; compute RDS design effects and report both weighted and unweighted estimates. 7) Missing-data strategy: multiple imputation (MI) with m=20 imputations, include all analysis variables in imputation model; run MNAR sensitivity with pattern-mixture models and selection-model scenarios. 8) Ablation/comparison studies: A) composite score vs domain scores vs latent-factor score; B) weighted (RDS/Gile-SS) vs unweighted estimators; C) analyses with and without modality adjustment (include modality as covariate) to assess measurement mode effects. 9) Reporting: report Cronbach's alpha, CFA fit, IRT/DIF results, effect sizes with 95% CIs, p-values, and sensitivity analyses for weighting and missingness. Reproducibility: release analysis code, seeds, and container specification.</w:t>
      </w:r>
    </w:p>
    <w:p>
      <w:r>
        <w:t xml:space="preserve"> </w:t>
      </w:r>
    </w:p>
    <w:p>
      <w:pPr>
        <w:pStyle w:val="Heading2"/>
      </w:pPr>
      <w:r>
        <w:t>Risk Factors And Limitations</w:t>
      </w:r>
    </w:p>
    <w:p>
      <w:r>
        <w:t>Technical failure modes: scale items may show poor fit (low CFA fit indices) or strong DIF across modalities, limiting comparability. Measurement limits: short scales may not capture complex barriers; threshold choices (e.g., ≥40) can be sample-dependent. Data biases: nonresponse and social-desirability bias on sensitive items may produce MNAR patterns; mandatory-reporting rules may reduce disclosure and bias estimates. Sampling limits: probability registers may be unavailable, forcing RDS/hybrid methods with larger and uncertain design effects; RDS may produce biased network-weighted estimates if network assumptions fail. Power/scalability: clustered or high-DE designs reduce effective sample size; mediation tests for small indirect effects may be underpowered unless n increased toward 1,000. Compute limits: IRT and multiple-imputation pipelines with large imputations and bootstrap mediation require substantial CPU. Generalization limits: findings from one country or cultural context (e.g., Jordanians) may not generalize to other settings. Ethical/legal constraints: jurisdictional mandatory-reporting rules can restrict data collection on abuse and affect participant willingness. Reproducibility risks: incomplete documentation of sampling adaptations or weighting choices may hinder replication.</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