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ecrime_awareness_decision_model_jordan</w:t>
      </w:r>
    </w:p>
    <w:p>
      <w:r>
        <w:t xml:space="preserve"> </w:t>
      </w:r>
    </w:p>
    <w:p>
      <w:pPr>
        <w:pStyle w:val="Heading2"/>
      </w:pPr>
      <w:r>
        <w:t>Title</w:t>
      </w:r>
    </w:p>
    <w:p>
      <w:r>
        <w:t>A quantitative motivation-and-decision model to analyze motives and decision processes underlying electronic crimes in Jordanian e-learning</w:t>
      </w:r>
    </w:p>
    <w:p>
      <w:r>
        <w:t xml:space="preserve"> </w:t>
      </w:r>
    </w:p>
    <w:p>
      <w:pPr>
        <w:pStyle w:val="Heading2"/>
      </w:pPr>
      <w:r>
        <w:t>Short Hypothesis</w:t>
      </w:r>
    </w:p>
    <w:p>
      <w:r>
        <w:t>A motivation-and-decision model that measures individual motives (financial incentive, personal recognition, ideological influence) will predict engagement in unlawful e-learning behaviors, and interventions targeted to the dominant motive will reduce phishing click rates by 50% relative to control within six months.</w:t>
      </w:r>
    </w:p>
    <w:p>
      <w:r>
        <w:t xml:space="preserve"> </w:t>
      </w:r>
    </w:p>
    <w:p>
      <w:pPr>
        <w:pStyle w:val="Heading2"/>
      </w:pPr>
      <w:r>
        <w:t>Related Work</w:t>
      </w:r>
    </w:p>
    <w:p>
      <w:r>
        <w:t>Existing approaches fall into three groups: (1) technical defenses and training (multi-factor authentication, generic phishing-awareness courses, simulated phishing), which reduce observable attack surface but often ignore actor motives; (2) behavioral nudges and HCI interventions that improve reporting and attention but are usually short-term and not linked to formal decision models; (3) sociocultural and criminological studies that describe motives for cyber offending but are qualitative or small-scale and rarely linked to platform logs. Limitations across these lines include narrow scope (technical fixes without social predictors), weak causal inference (few randomized cluster trials), poor cultural adaptation (materials not validated in Arabic/MENA contexts), small samples limiting subgroup inference, and inadequate privacy-preserving analytics for sharing results. No prior work integrates a quantitative motivation-and-decision model, platform behavioral logs, psychometrically validated motive measures, and privacy-preserving decision thresholds for institutional policy.</w:t>
      </w:r>
    </w:p>
    <w:p>
      <w:r>
        <w:t xml:space="preserve"> </w:t>
      </w:r>
    </w:p>
    <w:p>
      <w:pPr>
        <w:pStyle w:val="Heading2"/>
      </w:pPr>
      <w:r>
        <w:t>Abstract</w:t>
      </w:r>
    </w:p>
    <w:p>
      <w:r>
        <w:t>Electronic crimes in e-learning (e.g., phishing, account takeover, fraud) threaten academic integrity and student privacy. This study applies a motivation-and-decision framework to quantify how specific motives (financial gain, personal recognition, ideological drivers) and decision processes lead individuals to engage in unlawful online acts within Jordanian e-learning. We combine psychometrically validated surveys, behavioral platform logs (simulated phishing outcomes, authentication events), and institutional incident data from 2–3 pilot universities to build hierarchical predictive models that estimate both individual risk and institutional thresholds for action. The main contribution is an empirically grounded decision model that links measured motives to observable behaviors and produces actionable unit-defined metrics and intervention triggers for universities. Expected outcomes are: (1) validated motive scales adapted to Arabic, (2) predictive models that improve detection and targeting over technical-only baselines, and (3) pre-registered decision thresholds suitable for privacy-preserving public reporting. Results will inform culturally aligned prevention and policy in Jordanian higher education.</w:t>
      </w:r>
    </w:p>
    <w:p>
      <w:r>
        <w:t xml:space="preserve"> </w:t>
      </w:r>
    </w:p>
    <w:p>
      <w:pPr>
        <w:pStyle w:val="Heading2"/>
      </w:pPr>
      <w:r>
        <w:t>Experiments</w:t>
      </w:r>
    </w:p>
    <w:p>
      <w:r>
        <w:t>Datasets: (A) Survey dataset: psychometric instrument measuring motive dimensions (financial, recognition, ideological), trust, self-efficacy, and stigma; target N=400–600 respondents aggregated across 2–3 institutions. (B) Behavioral logs: LMS/SSO event logs, simulated phishing campaign logs (clicks, credential-submits), and incident tickets from the same users; aim for total users N≈3,000 across clusters. (C) Synthetic reproducible dataset matching schema: timestamp, event_type, hashed_user_id, ip_hash, session_id, outcome, geohash_lowres, user_agent_class. Baselines: (1) technical-only baseline = MFA push + standard institutional notices; (2) training baseline = generic phishing-awareness module; (3) no-intervention control. Evaluation metrics: phishing click rate per 1,000 users, credential-submit rate per 1,000, reporting rate (% incidents reported), median time-to-detect (TTD) in hours, median time-to-contain (TTC) in hours, SEM fit indices (CFI, RMSEA), predictive AUC for binary outcome 'clicked credential-submit', and utility loss under differential privacy measured as relative error. Experimental setup: cluster-randomized trial or stepped-wedge across departments (example configuration: 20 clusters × 150 users = 3,000 total; clusters randomized to interventions over 6 months). Analysis methods: (a) hierarchical Bayesian model with institution-level random effects and Beta(5,95) prior for baseline phishing; (b) structural equation model (SEM) linking motive latent variables to behavior; (c) CUSUM on weekly phishing rate for rapid detection. Monthly posterior updates for adaptive decisions. Ablation study: compare full model (motivational predictors + logs) vs ablated model without sociocultural predictors to quantify drop in AUC and loss in targeted intervention efficacy. Reproducibility: provide code snippets in Python/R, Dockerized notebooks, and synthetic-data examples for IRB review.</w:t>
      </w:r>
    </w:p>
    <w:p>
      <w:r>
        <w:t xml:space="preserve"> </w:t>
      </w:r>
    </w:p>
    <w:p>
      <w:pPr>
        <w:pStyle w:val="Heading2"/>
      </w:pPr>
      <w:r>
        <w:t>Risk Factors And Limitations</w:t>
      </w:r>
    </w:p>
    <w:p>
      <w:r>
        <w:t>1) Measurement error: self-report motives may be biased or socially desirable; psychometric instruments may not capture all motive variance. 2) False positives/negatives: automated signals (e.g., anomalous IP) can mislabel benign behavior as takeover, affecting triage. 3) Underreporting: stigma or fear may reduce incident reports, biasing outcome measures. 4) Differential privacy noise: adding privacy noise can reduce utility for low-frequency events. 5) Limited generalization: findings calibrated in Jordanian universities may not transfer to other countries or education systems. 6) Participation and sampling bias: low enrollment or nonrandom opt-outs could underpower subgroup analyses. 7) Ethical harm: phishing simulations cause brief deception risk and potential distress for some users. 8) Vendor and infrastructure risk: vendor failure or missing SBOMs can block forensic exports. 9) Compute and scalability: hierarchical Bayesian models with large logs require substantial compute (MCMC), which may slow monthly updates. 10) Legal/regulatory constraints: evolving local data protection rules may restrict cross-institutional data sharing and public reporting.</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