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heart_head_metaphors_en_ar</w:t>
      </w:r>
    </w:p>
    <w:p>
      <w:r>
        <w:t xml:space="preserve"> </w:t>
      </w:r>
    </w:p>
    <w:p>
      <w:pPr>
        <w:pStyle w:val="Heading2"/>
      </w:pPr>
      <w:r>
        <w:t>Title</w:t>
      </w:r>
    </w:p>
    <w:p>
      <w:r>
        <w:t>Qualitative corpus annotation and comparative analysis of heart and head conceptual metaphors in American English and Jordanian Arabic using an adapted MIPVU framework</w:t>
      </w:r>
    </w:p>
    <w:p>
      <w:r>
        <w:t xml:space="preserve"> </w:t>
      </w:r>
    </w:p>
    <w:p>
      <w:pPr>
        <w:pStyle w:val="Heading2"/>
      </w:pPr>
      <w:r>
        <w:t>Short Hypothesis</w:t>
      </w:r>
    </w:p>
    <w:p>
      <w:r>
        <w:t>If cultural and linguistic factors shape metaphor use, then American English will show a higher proportion and conventionality of HEART→AFFECT metaphors than Jordanian Arabic, while Jordanian Arabic will show a higher proportion of HEAD→AUTHORITY or HEAD→METONYMY uses.</w:t>
      </w:r>
    </w:p>
    <w:p>
      <w:r>
        <w:t xml:space="preserve"> </w:t>
      </w:r>
    </w:p>
    <w:p>
      <w:pPr>
        <w:pStyle w:val="Heading2"/>
      </w:pPr>
      <w:r>
        <w:t>Related Work</w:t>
      </w:r>
    </w:p>
    <w:p>
      <w:r>
        <w:t>Work on conceptual metaphors establishes that bodily terms (e.g., heart, head) map to abstract domains like emotion and thought. Annotation protocols such as MIP and MIPVU provide procedures to judge metaphoricity (deciding when a word is used metaphorically). Cross-linguistic studies compare metaphor patterns but often focus on single registers or lack dialectal coverage. Computational methods use static and contextual embeddings to cluster senses and align lexica, but alignment across typologically different languages and dialects is challenging. Arabic NLP faces extra issues: orthographic variants, dialectal forms, Arabizi (Latin-script Arabic), and limited annotated metaphor corpora. Existing pipelines rarely combine rigorous dialect normalization, adjudicated gold sets, and experimental validation. Limitations in prior work include scarce bilingual gold annotations, weak handling of idioms vs. metaphors, insufficient inter-annotator reliability reporting for skewed labels, and little integration of psycholinguistic validation.</w:t>
      </w:r>
    </w:p>
    <w:p>
      <w:r>
        <w:t xml:space="preserve"> </w:t>
      </w:r>
    </w:p>
    <w:p>
      <w:pPr>
        <w:pStyle w:val="Heading2"/>
      </w:pPr>
      <w:r>
        <w:t>Abstract</w:t>
      </w:r>
    </w:p>
    <w:p>
      <w:r>
        <w:t>This study analyzes how "heart" and "head" expressions are conceptualized and received in American English and Jordanian Arabic. We use a qualitative corpus approach with an adapted MIPVU annotation protocol to tag literal, metaphorical, metonymic, and idiomatic uses across balanced registers (news, social media, literature, religious/political). The project compiles a 140-expression seed inventory, collects ≥1M tokens per dialect, and produces an annotated sample with gold adjudication. Main contributions are: (1) a bilingual, adjudicated corpus of HEART/HEAD occurrences with conventionality scores; (2) a decision-rule bank operationalizing metaphor vs. metonymy and idiom tests; and (3) cross-linguistic analyses and embedding-based alignment showing distributional and conventionality differences. Expected outcomes include quantified differences in metaphor frequency and conventionality between English and Arabic, reproducible annotation resources, and experimentally grounded insights into embodied influences on metaphor. The outputs will support computational modeling, psycholinguistic testing, and comparative semantics work.</w:t>
      </w:r>
    </w:p>
    <w:p>
      <w:r>
        <w:t xml:space="preserve"> </w:t>
      </w:r>
    </w:p>
    <w:p>
      <w:pPr>
        <w:pStyle w:val="Heading2"/>
      </w:pPr>
      <w:r>
        <w:t>Experiments</w:t>
      </w:r>
    </w:p>
    <w:p>
      <w:r>
        <w:t>1) Corpus collection: assemble corpora with ≥1,000,000 tokens per dialect (American English, Jordanian Arabic) stratified by register: news 30%, social media 30%, literature 20%, religious/political 20%. 2) Candidate extraction: generate candidate lemmas/MWEs for heart/head families via frequency lists and ±5-token concordance windows. 3) Annotation: pilot 300 items; full annotation of 3,000 candidates per dialect with gold = 15% (≈450) adjudicated by senior annotators. Annotation schema: token, lemma, POS, BIO MWE spans, dialect, normalized orthography, figurative_label (literal/metaphor/metonymy/idiom/other), source_domain, target_domain, conventionality_score (0–3), annotator_ID, confidence. 4) Baselines: (a) lexical lookup (dictionary-based), (b) POS+pattern rules, (c) logistic regression on lemma/POS features, (d) fine-tuned contextual model (BERT/AraBERT) for sequence labeling. 5) Embedding alignment: fastText static vectors and contextual embeddings aligned with VecMap and CSLS; evaluate bilingual lexicon induction (P@1). 6) Evaluation metrics: token-level precision, recall, F1 for figurative detection; span-level precision/recall/F1 for MWE; Cohen's κ and Gwet's AC1 for categorical labels; Krippendorff's α for domain mapping; P@1 for alignment. 7) Statistical tests: compare proportions of HEART→AFFECT and HEAD→AUTHORITY categories across languages with chi-square tests and mixed-effects logistic regression (random intercepts for item and document). 8) Ablations: (i) with vs. without normalization (test impact of orthographic normalization on recall), (ii) with vs. without embedding alignment, (iii) conventionality threshold ablation (score cutoffs 1/2/3). 9) Psycholinguistic validation (optional): lexical decision priming using corpus-informed stimuli, target N=60 participants per language/dialect, measure reaction-time differences for metaphor-congruent vs. incongruent primes; analyze with mixed-effects models.</w:t>
      </w:r>
    </w:p>
    <w:p>
      <w:r>
        <w:t xml:space="preserve"> </w:t>
      </w:r>
    </w:p>
    <w:p>
      <w:pPr>
        <w:pStyle w:val="Heading2"/>
      </w:pPr>
      <w:r>
        <w:t>Risk Factors And Limitations</w:t>
      </w:r>
    </w:p>
    <w:p>
      <w:r>
        <w:t>1) Annotation disagreement: metaphoricity and idiom boundaries are subjective, producing low inter-annotator agreement for skewed labels. 2) Label imbalance: idioms and rare metaphor types may be too rare under random sampling for stable estimates and will require targeted oversampling. 3) Dialect variation: normalization can remove cues (e.g., hamza/Alef forms) and cause loss of dialectal signal; retrieval and annotation recall may be affected. 4) Tool error: tokenizers and lemmatizers (e.g., Farasa) have nontrivial error rates on dialectal data, impacting downstream annotation. 5) Alignment limits: embedding alignment between typologically different languages may be imperfect, reducing cross-lingual mapping accuracy. 6) Generalization: results will be specific to American English and Jordanian Arabic and may not generalize to other dialects or languages. 7) Ethical/data access: social media and political/religious content pose privacy and legal constraints limiting public release of raw data. 8) Compute and time: fine-tuning contextual models and alignment pipelines require moderate GPU resources and time, which may constrain iteration speed.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