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jordanian_professors_cybersecurity_awareness</w:t>
      </w:r>
    </w:p>
    <w:p>
      <w:r>
        <w:t xml:space="preserve"> </w:t>
      </w:r>
    </w:p>
    <w:p>
      <w:pPr>
        <w:pStyle w:val="Heading2"/>
      </w:pPr>
      <w:r>
        <w:t>Title</w:t>
      </w:r>
    </w:p>
    <w:p>
      <w:r>
        <w:t>Cross-sectional survey and psychometric analysis of cybersecurity awareness and barriers among Jordanian university professors</w:t>
      </w:r>
    </w:p>
    <w:p>
      <w:r>
        <w:t xml:space="preserve"> </w:t>
      </w:r>
    </w:p>
    <w:p>
      <w:pPr>
        <w:pStyle w:val="Heading2"/>
      </w:pPr>
      <w:r>
        <w:t>Short Hypothesis</w:t>
      </w:r>
    </w:p>
    <w:p>
      <w:r>
        <w:t>Professors who have completed formal cybersecurity training will score higher on an objective cybersecurity knowledge test than professors who have not.</w:t>
      </w:r>
    </w:p>
    <w:p>
      <w:r>
        <w:t xml:space="preserve"> </w:t>
      </w:r>
    </w:p>
    <w:p>
      <w:pPr>
        <w:pStyle w:val="Heading2"/>
      </w:pPr>
      <w:r>
        <w:t>Related Work</w:t>
      </w:r>
    </w:p>
    <w:p>
      <w:r>
        <w:t>Prior work has measured cybersecurity awareness in organizations and higher-education settings using cross-sectional surveys, knowledge quizzes, and self-report scales. Existing approaches often rely on small convenience samples, single-language instruments, and classical score totals. Limitations in current methods include: limited sample sizes that do not support multilevel (clustered) inference by institution; scarce psychometric validation using item-response theory (IRT) or measurement invariance tests across language versions; little or no differential item functioning (DIF) analysis to check for bias across gender, discipline, or institution type; inadequate handling of nonresponse and clustering in variance estimation; and sparse integration of qualitative data to explain survey findings. These weaknesses reduce confidence that observed score differences reflect true knowledge or systematic barriers rather than measurement artifacts, sampling bias, or translation problems.</w:t>
      </w:r>
    </w:p>
    <w:p>
      <w:r>
        <w:t xml:space="preserve"> </w:t>
      </w:r>
    </w:p>
    <w:p>
      <w:pPr>
        <w:pStyle w:val="Heading2"/>
      </w:pPr>
      <w:r>
        <w:t>Abstract</w:t>
      </w:r>
    </w:p>
    <w:p>
      <w:r>
        <w:t>This study assesses cybersecurity awareness, objective knowledge, and barriers faced by professors at Jordanian universities using a bilingual cross-sectional survey and psychometric analysis. We develop and validate a short bilingual instrument (knowledge items + awareness/skill scales) using classical item statistics, item response theory (IRT), and confirmatory factor analysis with measurement invariance tests across Arabic and English. We estimate adjusted differences in objective knowledge between professors with and without formal cybersecurity training using multilevel models that account for clustering by university and apply calibrated sampling weights for nonresponse. We also run DIF analyses to detect biased items and integrate targeted qualitative interviews to explain quantitative patterns. The main contributions are a validated, reproducible instrument for this context, numeric estimates of training effects and institutional variance, and identification of common barriers to acquiring cybersecurity skills. Results will inform university-level training priorities and policy decisions for capacity building in Jordanian higher education.</w:t>
      </w:r>
    </w:p>
    <w:p>
      <w:r>
        <w:t xml:space="preserve"> </w:t>
      </w:r>
    </w:p>
    <w:p>
      <w:pPr>
        <w:pStyle w:val="Heading2"/>
      </w:pPr>
      <w:r>
        <w:t>Experiments</w:t>
      </w:r>
    </w:p>
    <w:p>
      <w:r>
        <w:t>Dataset: pilot dataset n=55 from four Jordanian universities (existing); main planned dataset: stratified clustered sample targeting completed N=500–700 across 30–50 university clusters (public/private, STEM/non-STEM, ranks). Baseline groups: (1) professors with formal cybersecurity training vs without, (2) STEM vs non-STEM, (3) public vs private universities, (4) faculty with IT/security responsibilities vs not. Primary outcome: objective knowledge theta estimated from IRT (latent ability score). Secondary outcome: composite awareness/skill scale (mean of calibrated items). Evaluation metrics: mean difference and 95% CI, adjusted multilevel regression coefficient (β) and p-value, Cohen's d for effect size, intraclass correlation coefficient (ICC) for clustering, Cronbach's alpha and McDonald’s omega for scale reliability, IRT discrimination (a) and difficulty (b) parameters, S-X2 item-fit p-values, measurement invariance ΔCFI and ΔRMSEA, DIF effect-size (ordinal logistic R2 change and change in parameters). Sample-size/power: use SRS formula n_SRS = (Z^2 * p*(1−p)) / d^2. Example: Z=1.96, p=0.5, d=0.05 → n_SRS ≈ 384. Design effect DEFF = 1 + (m−1)*ICC. Example: m=12, ICC=0.03 → DEFF ≈ 1.33 → clustered n ≈ 384*1.33 ≈ 510. If expected response rate RR = 0.5 → invitations ≈ 1020; clusters needed ≈ 510/12 ≈ 43. DIF power scenarios: run ICC sensitivity ICC ∈ {0.01,0.02,0.05,0.10} and per-group target n ∈ {200,300} for DIF detection. Experimental procedures and comparisons: 1) Score comparison: IRT theta vs percent-correct (ablation). 2) Modeling comparison: pooled OLS vs multilevel mixed model with random intercepts (ablation). 3) Adjustment comparison: weighted analysis (raking) vs unweighted. 4) Bias control: models with and without social-desirability covariate. 5) DIF remediation ablation: remove biased items vs apply Bayesian shrinkage linking (compare final group effect estimates). Analysis pipeline and reproducibility: use R with seeds set.seed(20260119). Key packages: mirt (IRT), lavaan (CFA), lme4/brms (multilevel / Bayesian), survey (weights), mice (imputation), lordif/difR (DIF). Predefine software versions and random seeds in preregistration. Missing data: multiple imputation (mice) and FIML for CFA. All scripts, simulation code for power/DIF, and analysis notebooks will be versioned and archived.</w:t>
      </w:r>
    </w:p>
    <w:p>
      <w:r>
        <w:t xml:space="preserve"> </w:t>
      </w:r>
    </w:p>
    <w:p>
      <w:pPr>
        <w:pStyle w:val="Heading2"/>
      </w:pPr>
      <w:r>
        <w:t>Risk Factors And Limitations</w:t>
      </w:r>
    </w:p>
    <w:p>
      <w:r>
        <w:t>Small sample risk: low recruitment or low response rates may reduce power, especially for DIF and subgroup analyses. Clustering risk: high ICC or few clusters can bias variance estimates and limit ability to estimate random slopes. Measurement risk: translation errors, poor item discrimination, or strong DIF can invalidate cross-language comparisons. Social desirability and self-report bias: faculty may overstate skills or underreport risky practices. Nonresponse bias: respondents may differ systematically from nonrespondents by discipline or rank. Generalizability: results will be specific to Jordanian universities and may not generalize to other countries. Ethical risk: simulated tasks (e.g., phishing vignette) could raise consent concerns; these tasks must remain low risk. Computational limits: IRT/CFA and Bayesian multilevel models may be slow for many simulations on limited hardware. No mitigation strategies are listed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