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ai_metacognitive_amplification</w:t>
      </w:r>
    </w:p>
    <w:p>
      <w:r>
        <w:t xml:space="preserve"> </w:t>
      </w:r>
    </w:p>
    <w:p>
      <w:pPr>
        <w:pStyle w:val="Heading2"/>
      </w:pPr>
      <w:r>
        <w:t>Title</w:t>
      </w:r>
    </w:p>
    <w:p>
      <w:r>
        <w:t>Simulator-informed randomized evaluation of AI-driven cognitive amplification to improve metacognitive calibration in self-regulated learning</w:t>
      </w:r>
    </w:p>
    <w:p>
      <w:r>
        <w:t xml:space="preserve"> </w:t>
      </w:r>
    </w:p>
    <w:p>
      <w:pPr>
        <w:pStyle w:val="Heading2"/>
      </w:pPr>
      <w:r>
        <w:t>Short Hypothesis</w:t>
      </w:r>
    </w:p>
    <w:p>
      <w:r>
        <w:t>Providing learners with AI-driven personalized feedback, schedules, and self-assessment tools will increase within-subject metacognitive calibration (Goodman–Kruskal gamma) by at least 0.10 relative to control over a pre-post intervention period.</w:t>
      </w:r>
    </w:p>
    <w:p>
      <w:r>
        <w:t xml:space="preserve"> </w:t>
      </w:r>
    </w:p>
    <w:p>
      <w:pPr>
        <w:pStyle w:val="Heading2"/>
      </w:pPr>
      <w:r>
        <w:t>Related Work</w:t>
      </w:r>
    </w:p>
    <w:p>
      <w:r>
        <w:t>Prior work includes adaptive learning systems that adapt content to learner ability, AI-powered learning analytics that surface performance patterns, and recent use of large language models to generate hints and reflection prompts. Existing studies often focus on accuracy or task performance rather than metacognitive calibration (the match between confidence and correctness). Many evaluations use randomized trials but lack explicit simulator validation, conservative offline-to-online safety checks, or detailed fatigue and fairness rules. Current interpretability efforts provide post-hoc explanations but rarely measure fidelity with human acceptability tests. Limitations include weak operationalization of metacognition, sparse reporting of offline–online gaps for adaptive policies, limited subgroup fairness audits, and few mixed-methods studies combining quantitative effectiveness with qualitative learner experience analysis.</w:t>
      </w:r>
    </w:p>
    <w:p>
      <w:r>
        <w:t xml:space="preserve"> </w:t>
      </w:r>
    </w:p>
    <w:p>
      <w:pPr>
        <w:pStyle w:val="Heading2"/>
      </w:pPr>
      <w:r>
        <w:t>Abstract</w:t>
      </w:r>
    </w:p>
    <w:p>
      <w:r>
        <w:t>We study AI as a form of cognitive amplification: tools that give personalized feedback, schedules, and self-assessment supports to strengthen learners' metacognitive calibration (how well confidence matches accuracy). We build a hybrid learner simulator (Bayesian knowledge + RNN transitions) to validate policies offline and to set safety thresholds before any online adaptation. We run staged pilots and a preregistered randomized controlled trial (target N≈400) comparing AI-driven adaptive support to control and to non-adaptive baselines. Quantitative outcomes center on within-subject calibration measured by Goodman–Kruskal gamma; secondary outcomes include calibration error, accuracy, cognitive load, and transfer across domains. We also conduct qualitative interviews and thematic analysis to identify facilitators and barriers to classroom integration. Main contributions are (1) a reproducible simulator-informed evaluation pipeline, (2) a safety-first policy codebook with fairness and fatigue constraints, and (3) combined quantitative and qualitative evidence on whether AI amplifies metacognitive learning. Expected outcome: measured calibration gains and actionable insights for safe classroom deployment.</w:t>
      </w:r>
    </w:p>
    <w:p>
      <w:r>
        <w:t xml:space="preserve"> </w:t>
      </w:r>
    </w:p>
    <w:p>
      <w:pPr>
        <w:pStyle w:val="Heading2"/>
      </w:pPr>
      <w:r>
        <w:t>Experiments</w:t>
      </w:r>
    </w:p>
    <w:p>
      <w:r>
        <w:t>Datasets: (1) historical LMS logs for training the RNN state-transition model (item responses, confidence, RT), (2) simulated learner traces from the hybrid simulator, and (3) primary RCT data collected on a fixed 40-item calibration set plus domain isomorphic item batteries (math, reading, science). Baselines: (A) control (no AI prompts), (B) static feedback (same feedback schedule for all), (C) rule-based adaptive scaffolds (predefined heuristics), (D) contextual-bandit baseline (non-RL adaptive policy). Experimental design: Phase 1 pilot N≈50 for data quality and simulator fit; Phase 2 MRT-style pilot N≈150 for offline policy eval; Phase 3 RCT N≈400 randomized by class to AI-adaptive vs control, pre-post within-subject design. Primary metric: within-subject Goodman–Kruskal gamma on the 40-item set (gamma measures confidence–accuracy resolution; higher is better). Secondary metrics: expected calibration error (ECE, measures average confidence minus accuracy), Brier score (probabilistic accuracy), task accuracy, response time (RT), NASA-TLX (cognitive load), 1–10 fatigue self-report, prompt uptake rate, transfer scores at 2–4 weeks, and qualitative codes from semi-structured interviews. Analysis: linear mixed-effects model on Fisher-z transformed gamma: z_gamma_post ~ condition + z_gamma_pre + age + prior_achievement + (1|class) + (1|student). Sensitivity: Somers’ D, Spearman rho, permutation tests if ties &gt;5%. Simulator validation metrics: KL divergence of state occupancy (KL), ECE difference, policy-value difference, decision-discrepancy rate; require KL &lt; 0.10 and ECE diff &lt; 0.03 before online rollout. Offline policy evaluation: IPS/AIPW estimators (importance sampling methods that reweight logged data) with bootstrap 95% CIs; require CIs to exclude harm margin (worse than −0.05 Δgamma) before automated updates. Ablations: remove fatigue-adaptive rule (no fatigue signals) and remove personalization (group-level policy) to measure each component's effect. Adversarial tests: simulated gaming learners to detect degenerate prompting behaviors. Privacy and safety checks: report DP budget for aggregates (DP-SGD; differential privacy adds noise to protect individuals) and audit fairness (Brier/ECE parity within ±0.03 and prompt-rate ratio within 1.1).</w:t>
      </w:r>
    </w:p>
    <w:p>
      <w:r>
        <w:t xml:space="preserve"> </w:t>
      </w:r>
    </w:p>
    <w:p>
      <w:pPr>
        <w:pStyle w:val="Heading2"/>
      </w:pPr>
      <w:r>
        <w:t>Risk Factors And Limitations</w:t>
      </w:r>
    </w:p>
    <w:p>
      <w:r>
        <w:t>Simulator mismatch: simulated learners may not capture real learner variability, causing unsafe policy transfers. Measurement bias: high tie rates in confidence or skewed item difficulty can reduce power or bias gamma estimates. Missing data and attrition: differential dropout across arms or subgroups may bias estimates. Privacy–utility trade-offs: strong differential privacy (DP) may reduce model utility. Adversarial gaming: learners might respond to prompts to maximize reported calibration rather than learning. Scalability and compute: hybrid simulator and RL evaluations require substantial GPU-hours and storage. Generalization limits: calibrated gains on the 40-item set may not transfer to all skills or contexts. Subgroup power: sample sizes may be insufficient for well-powered subgroup analyses. Legal and consent constraints: FERPA/GDPR rules may limit data sharing and synthetic release. Usability limits: added prompts could increase cognitive load and reduce engagement for some learners.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