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minimal_online_efl_lowres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Phenomenological case study and pilot trial of minimal tool-mediated online EFL instruction in low-resourced private schools during emergencies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Delivering a four-month minimal, audio-first tool-mediated online EFL program to low-resourced private school students causes a statistically significant increase in students' speaking total scores (0–7) at endline compared with usual remote instruction.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remote English-as-a-foreign-language (EFL) instruction in low-resource contexts falls into a few categories: high-bandwidth synchronous video classrooms that assume stable internet and devices; SMS/USSD and IVR (interactive voice response) programs that prioritise reach over oral practice; and informal digital-learning projects using messaging apps or community radio. Assessment approaches include short recognition tests and ad-hoc speaking checks often scored without robust rater protocols. Limitations across these approaches are consistent: many assume device/connectivity capacity that low-resourced schools lack; they provide limited scaffolded speaking practice; they lack validated, low-burden fidelity metrics; rater reliability for speaking is often unreported or low; and rigorous cluster-level evaluation (with small cluster counts and correct small-sample inference) is rare. There is also limited work integrating rapid dialect adaptation or clear data-governance templates for local hosting. These gaps leave open questions about minimal audio-first instruction effectiveness, scalable fidelity measurement, and robust assessment under low-bandwidth and dialectal variation.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investigate whether a minimal, tool-mediated online EFL approach—designed for audio-first delivery, low-bandwidth distribution, and minimal teacher prep—improves speaking outcomes in low-resourced private schools during emergencies. Using a four-month interpretive phenomenological case study plus a pilot cluster comparison, we collect semi-structured teacher interviews, recorded student speaking samples, lesson logs, and program documents. The main contribution is a tested minimal intervention package (short scripted audio inputs, simple practice tasks, printable handouts) combined with a pre-registered fidelity composite and rater-calibrated speaking rubric mapped to a 0–7 speaking total score. We will estimate effects with mixed-effects models that account for student and school clustering, report inter-rater reliability, and publish simulation-based power analyses and data-governance artifacts. Expected outcomes are an empirically grounded estimate of the causal effect of minimal audio-first instruction on speaking scores, validated low-burden fidelity and reliability procedures, and practical guidance for low-bandwidth EFL delivery and assessment in emergency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Pilot cluster dataset: 12–18 clusters per arm (schools), ~25 students per cluster, total per arm 300 (if 12 clusters) adjusting for attrition; student-level baseline covariates (prior English score, age, sex, grade, SES proxy, attendance), weekly recorded 30–90s speaking task clips, weekly recognition quizzes, lesson logs, and semi-structured teacher interviews. (2) Qualitative transcripts from 8–12 teachers and 20 learners for phenomenological analysis. Baselines: (A) usual remote practice (ad-hoc phone/WhatsApp or teacher calls); (B) audio+SMS multimodal delivery (ablation variant). Primary outcome: speaking total score (0–7) aggregated per student from rubric items. Secondary outcomes: recognition score, attendance, retention, fidelity composite (attendance30/adherence40/homework20/timeliness10). Evaluation metrics: mean endline difference, Cohen's d, 95% CI, p-value; mixed-effects model coefficients for time*arm interaction; intraclass correlation (ICC) for clustering; inter-rater reliability metrics: ICC for continuous total and Cohen's kappa for rubric categories. Statistical model: pre-registered linear mixed-effects model: outcome_ijt = β0 + β1*time + β2*arm + β3*time*arm + Σβcov*covariates + u_school_j + u_student_i(j) + ε; REML estimation, cluster-robust SEs, Kenward–Roger df adjustment and wild cluster bootstrap as sensitivity. Missing data: multiple imputation if missing at random &lt;30%; MNAR sensitivity via pattern-mixture. Power and simulations: run ≥2,000 replications per critical scenario with ICC ∈ {0.05,0.10,0.15}, cluster-size CV ∈ {0,0.3,0.6}, attrition ∈ {0%,10%,20%}; report empirical power, bias, and coverage. Rater protocol: initial calibration double-rate 30–50 exemplar clips per rater; ongoing double-rating 15% weekly; suspension rules pre-specified. Ablations: (1) modality ablation: audio-only vs audio+SMS vs print-only; (2) fidelity-weight ablation: primary weights vs equal weights vs adherence-heavy weights; (3) component ablation: remove homework component to test its effect. Pre-registration: SAP with ITT, per-protocol (students meeting fidelity ≥70), estimand text, multiplicity plan (primary speaking score α=0.05; Benjamini-Hochberg for secondary families). Technical spec: audio codec Opus 16–24 kbps (Opus is an efficient speech audio format that makes small files) with fallback AAC/MP3 64 kbps; include intelligibility crosswalk tests on representative handsets.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Technical: poor audio quality or device incompatibility may corrupt speaking samples; low-bitrate codecs may reduce intelligibility for raters. Measurement: rater drift, low inter-rater reliability, or biased scoring across dialects can invalidate the primary outcome. Sampling and inference: ICC uncertainty and small cluster counts can reduce power and complicate inference; cluster attrition or unequal cluster sizes can bias estimates. Missing data: high attrition or MNAR (dropout related to unobserved outcomes) may invalidate multiple-imputation assumptions. Scalability: results from private low-resourced schools may not generalize to public or better-resourced settings. Teacher burden: added tasks may exceed available time and change fidelity distributions. Legal/ethical: cross-border data-hosting and GDPR/Potsdam compliance constraints may limit where raw audio can be stored. Resource limits: limited budget may constrain rater hours, incentives, or field tests. Qualitative limits: phenomenological findings are context-specific and may not generalize beyond the studied communities.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