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batak_toba_women_land</w:t>
      </w:r>
    </w:p>
    <w:p>
      <w:r>
        <w:t xml:space="preserve"> </w:t>
      </w:r>
    </w:p>
    <w:p>
      <w:pPr>
        <w:pStyle w:val="Heading2"/>
      </w:pPr>
      <w:r>
        <w:t>Title</w:t>
      </w:r>
    </w:p>
    <w:p>
      <w:r>
        <w:t>Mixed-methods analysis of Batak Toba women’s de facto control of inherited land using surveys, in-depth interviews, archival records, and GIS</w:t>
      </w:r>
    </w:p>
    <w:p>
      <w:r>
        <w:t xml:space="preserve"> </w:t>
      </w:r>
    </w:p>
    <w:p>
      <w:pPr>
        <w:pStyle w:val="Heading2"/>
      </w:pPr>
      <w:r>
        <w:t>Short Hypothesis</w:t>
      </w:r>
    </w:p>
    <w:p>
      <w:r>
        <w:t>Greater adat recognition and higher ritual legitimacy causally increase the probability that a Batak Toba woman exercises de facto control over her inherited land, controlling for formal title, household socioeconomics, and migration.</w:t>
      </w:r>
    </w:p>
    <w:p>
      <w:r>
        <w:t xml:space="preserve"> </w:t>
      </w:r>
    </w:p>
    <w:p>
      <w:pPr>
        <w:pStyle w:val="Heading2"/>
      </w:pPr>
      <w:r>
        <w:t>Related Work</w:t>
      </w:r>
    </w:p>
    <w:p>
      <w:r>
        <w:t>Prior research on gendered land rights often focuses on formal property titles or on small-scale ethnographies. Quantitative studies emphasize state-issued certificates as predictors of control but rarely measure informal adat recognition or ritual roles. Ethnographic work documents symbolic claims and intra-household negotiation but is typically not linked to geospatial parcel data or validated psychometric indices. Existing mixed-methods efforts are limited by small or convenience samples, weak measurement validation (few use factor analysis or IRT), limited triangulation between archives/GIS/self-report, and sparse pre-specified handling of missing data or measurement invariance across language/site types. Ethical protocols and community governance in prior work are often underspecified, and few studies pre-register cut-points or evaluate sensitivity to source-weighting. These gaps leave unresolved how symbolic adat legitimacy and ritual participation quantitatively relate to women’s practical control of land within patriarchal settings.</w:t>
      </w:r>
    </w:p>
    <w:p>
      <w:r>
        <w:t xml:space="preserve"> </w:t>
      </w:r>
    </w:p>
    <w:p>
      <w:pPr>
        <w:pStyle w:val="Heading2"/>
      </w:pPr>
      <w:r>
        <w:t>Abstract</w:t>
      </w:r>
    </w:p>
    <w:p>
      <w:r>
        <w:t>This study tests how adat recognition and ritual legitimacy relate to Batak Toba women’s practical control of inherited land in a patriarchal setting. We combine a structured household survey of 360 adult Boru women across four site types, in-depth interviews with a purposive subset of 180 women, archival document extraction, and GPS-based parcel mapping. We develop psychometrically validated indices of de facto control, use-rights, and ritual legitimacy using exploratory and confirmatory factor analysis and graded-response item response models. We triangulate self-report, archival records, and GIS parcel alignment using a weighted concordance score. Primary contributions are (1) an operational, validated measure of women’s de facto land control that integrates symbolic and material indicators, and (2) a transparent mixed-methods protocol linking ritual/adat measures to observable control outcomes. Expected outcomes are quantified estimates of the effect of adat and ritual legitimacy on women’s land control, validated measurement instruments, and an evidence base for community-governed data outputs.</w:t>
      </w:r>
    </w:p>
    <w:p>
      <w:r>
        <w:t xml:space="preserve"> </w:t>
      </w:r>
    </w:p>
    <w:p>
      <w:pPr>
        <w:pStyle w:val="Heading2"/>
      </w:pPr>
      <w:r>
        <w:t>Experiments</w:t>
      </w:r>
    </w:p>
    <w:p>
      <w:r>
        <w:t>Datasets: (A) Household survey n=360 adult Boru women stratified across 4 site types (adat-strong rural, transmigrant/remote, peri-urban with migrant ties, urban Batak neighborhood); (B) In-depth interviews n=180 (subset purposively sampled for discordant cases); (C) Archival file set target 60–80 files per site (titles, cadastral maps, adat inventories); (D) GPS parcel polygons and drone imagery for mapped parcels. Baselines: Model 1: certificate-only predictor (formal title present/absent); Model 2: self-report measures only (no archival/GIS); Model 3: full model with formal title + socioeconomics but without ritual/adat measures. Primary outcome variable: de facto control index (0–100) and ordinal categories (weak/medium/strong). Experimental setup: (1) Psychometric validation: pilot N≈120 for EFA (principal axis, oblique rotation) then full-sample CFA and graded-response IRT for ordinal items; report Cronbach’s alpha, item discrimination, and factor loadings. (2) Predictive models: multilevel ordinal/logistic regression with random intercepts for huta (site) and household; random intercepts model = accounts for cluster-level variation (clusters = communities). Fixed effects: ritual legitimacy index, adat recognition, certificate presence, age, marital/widow status, marga/boru position, education, migration/remittance, wealth, parcel size. Report coefficients, odds ratios, 95% CIs, and marginal effects. Evaluation metrics: AUC (for binary versions), accuracy and F1 (for categorical), RMSE (for continuous index), CFI and RMSEA (for CFA), IRT discrimination parameters, Krippendorff’s alpha (qualitative coding), weighted concordance score and Cohen’s kappa (triangulation). Power: target 80% power to detect a 10–15 percentage-point difference in strong control across key strata, assume intraclass correlation ICC=0.05 for site clustering; formal power calculus to be run with these inputs. Ablation study: compare full model vs Model 1–3 to quantify incremental predictive gain from ritual/adat measures and from archival/GIS linkage. Calibration study: reserve 10% validation subsample to test alternative source-weight schemes and cut-points (70/60/80). Measurement invariance tests: multi-group CFA across language (Bahasa vs Batak Toba) and site type (configural→metric→scalar), report ΔCFI and ΔRMSEA. Missing-data experiments: implement multilevel multiple imputation (m=40) and run MNAR sensitivity checks with a pattern-mixture specification; report pooled estimates via Rubin’s rules. Triangulation follow-up: prioritize cases with concordance&lt;0.7 for qualitative process-tracing and compare qualitative code-derived outcomes to model residuals.</w:t>
      </w:r>
    </w:p>
    <w:p>
      <w:r>
        <w:t xml:space="preserve"> </w:t>
      </w:r>
    </w:p>
    <w:p>
      <w:pPr>
        <w:pStyle w:val="Heading2"/>
      </w:pPr>
      <w:r>
        <w:t>Risk Factors And Limitations</w:t>
      </w:r>
    </w:p>
    <w:p>
      <w:r>
        <w:t>Technical failure modes: poor psychometric fit (items not unidimensional), low IRT discrimination for key items, or unstable CFA across groups. Data biases: social-desirability in self-report, recall bias in inheritance histories, and selective survival of archival records leading to non-random missingness. Sampling and power limits: higher-than-expected ICC or lower effect sizes reduce power for subgroup or invariance tests. Triangulation limits: inability to match archival parcel IDs to current GPS parcels for many cases reduces archival validation. Ethical and safety constraints: contested claims may prevent public mapping or force removal of cases from shared datasets. Scalability: drone/GIS costs and transcription workload may limit replication or larger samples. Generalization limits: findings are specific to Batak Toba adat and may not transfer to other Indonesian groups or different customary systems. Computation limits: IRT and multilevel MI with large imputations are computationally intensive and may require extended runtime. Data quality limits: interviewer variability and low inter-coder reliability can bias qualitative integration.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