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halal_ilw_revisit</w:t>
      </w:r>
    </w:p>
    <w:p>
      <w:r>
        <w:t xml:space="preserve"> </w:t>
      </w:r>
    </w:p>
    <w:p>
      <w:pPr>
        <w:pStyle w:val="Heading2"/>
      </w:pPr>
      <w:r>
        <w:t>Title</w:t>
      </w:r>
    </w:p>
    <w:p>
      <w:r>
        <w:t>A phenomenological qualitative study of how Islamic local wisdom and socio-cultural responsibility influence Muslim tourists' revisit intentions at Indonesian halal tourism destinations</w:t>
      </w:r>
    </w:p>
    <w:p>
      <w:r>
        <w:t xml:space="preserve"> </w:t>
      </w:r>
    </w:p>
    <w:p>
      <w:pPr>
        <w:pStyle w:val="Heading2"/>
      </w:pPr>
      <w:r>
        <w:t>Short Hypothesis</w:t>
      </w:r>
    </w:p>
    <w:p>
      <w:r>
        <w:t>Greater presence of Islamic local wisdom practices at halal tourism destinations causes higher revisit intention among Muslim tourists.</w:t>
      </w:r>
    </w:p>
    <w:p>
      <w:r>
        <w:t xml:space="preserve"> </w:t>
      </w:r>
    </w:p>
    <w:p>
      <w:pPr>
        <w:pStyle w:val="Heading2"/>
      </w:pPr>
      <w:r>
        <w:t>Related Work</w:t>
      </w:r>
    </w:p>
    <w:p>
      <w:r>
        <w:t>Existing work on halal and religious tourism has examined service quality, perceived authenticity, tourist satisfaction, and revisit intention using surveys and occasional experiments. Many quantitative studies model satisfaction and authenticity as drivers of revisit intention but treat cultural and religious features as simple service attributes. Qualitative and ethnographic studies document local hospitality and ritual practices but rarely link them to measured tourist behavior. Limitations of current approaches include overreliance on cross-sectional self-report surveys, weak measurement of local religious meaning, limited testing of measurement invariance across sites, scarce use of multilevel methods to account for clustering by destination, and few studies that validate perceptual measures against behavioral records (e.g., booking data). Few studies embed Islamic normative concepts (maqasid) in measurement, and follow-up validation of actual return behavior is uncommon. These gaps leave open whether local wisdom constructs causally predict returns, how robust measures are across sites, and how social-desirability biases affect estimates.</w:t>
      </w:r>
    </w:p>
    <w:p>
      <w:r>
        <w:t xml:space="preserve"> </w:t>
      </w:r>
    </w:p>
    <w:p>
      <w:pPr>
        <w:pStyle w:val="Heading2"/>
      </w:pPr>
      <w:r>
        <w:t>Abstract</w:t>
      </w:r>
    </w:p>
    <w:p>
      <w:r>
        <w:t>This study investigates whether and how Islamic local wisdom (ILW) and perceived Islamic socio-cultural responsibility influence Muslim tourists' intentions to revisit halal tourism destinations. Using a phenomenological, qualitative approach with in-depth interviews and systematic observations at Indonesian halal sites, the project develops a maqasid-informed measurement of ILW covering prayer facilitation, halal integrity, hospitality, spatial privacy, and community governance. The study then evaluates how ILW relates to perceived authenticity and satisfaction and whether these perceptions mediate revisit intention. Main contributions are: (1) an empirically grounded ILW measure tied to Islamic ethical goals (maqasid), (2) integrated qualitative evidence showing how local practices shape tourist meaning, and (3) a pre-specified analytic plan linking perceptions to both stated revisit intention and consented booking-based return behavior at 6–12 months. Expected outcomes include validated measures, evidence on causal pathways from ILW to revisit intention, and practical KPIs for destination managers to monitor socio-cultural responsibility and its relationship to repeat visitation.</w:t>
      </w:r>
    </w:p>
    <w:p>
      <w:r>
        <w:t xml:space="preserve"> </w:t>
      </w:r>
    </w:p>
    <w:p>
      <w:pPr>
        <w:pStyle w:val="Heading2"/>
      </w:pPr>
      <w:r>
        <w:t>Experiments</w:t>
      </w:r>
    </w:p>
    <w:p>
      <w:r>
        <w:t>Datasets: (1) Qualitative: phenomenological interviews (n=60–100) and structured participant observations across 3–5 Indonesian halal destinations; audio notes and field logs. (2) Quantitative survey: multilevel clustered sample target N=600–800 across ~30 clusters (accommodation or destination clusters) with cognitive interview pilots n≈20/site and pilot surveys n≈100/site. (3) Vignette experiment nested in survey: 2x2 design manipulating visible halal cues (high/low) and visible community governance (present/absent); target n=400–800. (4) Follow-up booking linkage: consented deterministic/probabilistic linkage to booking records for actual return within 6–12 months; validation subsample n=150–300 for linkage accuracy. Baselines: (A) model with standard service-quality predictors only; (B) model with perceived authenticity and satisfaction only (no ILW domains); (C) single-level SEM ignoring clustering. Evaluation metrics: standardized path coefficients, R-squared for revisit intention, indirect effect sizes (standardized), mediation significance (bootstrap CIs), model fit indices (CFI, RMSEA, SRMR), multilevel ICCs, Cronbach's alpha and omega for scales, test–retest reliability (intraclass correlation) for repeated items, linkage false-match/nonmatch rates, and actual revisit rate (proportion returning within time window). Experimental setup: estimate multilevel structural equation models (SEM) with random intercepts for cluster; mediators are perceived authenticity and satisfaction; moderators are tourist religiosity and perceived maqasid-alignment (interaction terms). Explain: multilevel SEM models both individual-level and cluster-level variance; mediation tests use bootstrap or posterior intervals; Bayesian sensitivity runs with Normal(0,1) priors for slopes. Comparison/ablation studies: (1) remove community governance domain to measure its unique contribution; (2) compare models with and without maqasid-alignment moderator; (3) compare multilevel SEM vs single-level SEM to quantify clustering effects; (4) vignette experiment contrasts to estimate causal effects of visible halal cues and governance on perceived responsibility and intention. Report simulation-derived MDES tables for ICCs {.05,.10}, cluster sizes {20,25,30}, and attrition {10%,20%,30%}.</w:t>
      </w:r>
    </w:p>
    <w:p>
      <w:r>
        <w:t xml:space="preserve"> </w:t>
      </w:r>
    </w:p>
    <w:p>
      <w:pPr>
        <w:pStyle w:val="Heading2"/>
      </w:pPr>
      <w:r>
        <w:t>Risk Factors And Limitations</w:t>
      </w:r>
    </w:p>
    <w:p>
      <w:r>
        <w:t>Technical failure modes: measurement invariance may fail across sites, forcing partial or alignment approaches that limit direct mean comparisons; multicollinearity among ILW domains may require higher-order or bifactor models, reducing interpretability. Data and evaluation biases: social-desirability bias in self-reports on religious topics may inflate associations; consent rates for booking linkage may be low, biasing observed actual return rates. Sampling and power constraints: cluster counts below 30 or high ICCs (&gt;0.10) reduce power to detect mediated and moderated effects; attrition at follow-up may undermine behavioral validation. Scalability and compute: Bayesian multilevel models and Monte Carlo simulations require substantial compute for sensitivity grids. Generalization limits: findings from Indonesian halal sites may not generalize to other countries or to non-Muslim tourists. Ethics and governance: AV recording and data linkage require complex approvals; delays in multi-jurisdiction ethics can shift timelines and reduce sample completeness.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