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rawlsian_ai_women_tourism</w:t>
      </w:r>
    </w:p>
    <w:p>
      <w:r>
        <w:t xml:space="preserve"> </w:t>
      </w:r>
    </w:p>
    <w:p>
      <w:pPr>
        <w:pStyle w:val="Heading2"/>
      </w:pPr>
      <w:r>
        <w:t>Title</w:t>
      </w:r>
    </w:p>
    <w:p>
      <w:r>
        <w:t>Evaluating the impact of a Rawlsian-informed, privacy-preserving AI intervention on inclusivity for women entrepreneurs in tourism using a mixed-methods randomized evaluation</w:t>
      </w:r>
    </w:p>
    <w:p>
      <w:r>
        <w:t xml:space="preserve"> </w:t>
      </w:r>
    </w:p>
    <w:p>
      <w:pPr>
        <w:pStyle w:val="Heading2"/>
      </w:pPr>
      <w:r>
        <w:t>Short Hypothesis</w:t>
      </w:r>
    </w:p>
    <w:p>
      <w:r>
        <w:t>A Rawlsian-informed, privacy-preserving AI platform designed for low-connectivity devices will cause a statistically significant increase in monthly net income and autonomy index for worst-off women entrepreneurs in tourism compared to a control group after 12 months.</w:t>
      </w:r>
    </w:p>
    <w:p>
      <w:r>
        <w:t xml:space="preserve"> </w:t>
      </w:r>
    </w:p>
    <w:p>
      <w:pPr>
        <w:pStyle w:val="Heading2"/>
      </w:pPr>
      <w:r>
        <w:t>Related Work</w:t>
      </w:r>
    </w:p>
    <w:p>
      <w:r>
        <w:t>Existing work falls into four relevant streams: (1) digital marketplace and platform studies that aim to improve market access for small tourism businesses; these often show modest income gains but rarely target worst-off subgroups or measure autonomy and safety. (2) AI and mobile tools for microentrepreneurship that use recommendation, chatbots, or automated booking support; these prioritize utility but typically assume continuous connectivity and centralized data, limiting feasibility for remote, low-resource users. (3) Privacy-preserving ML research (federated learning and differential privacy) that demonstrates reduced central data exposure in controlled settings but lacks field evidence on low-end devices and intersectional impacts. (4) Gender and development evaluations measuring empowerment with indices like WEAI; these provide validated outcome constructs but are seldom combined with on-device AI interventions or Rawlsian priority sampling. Limitations across these streams include: weak attention to the worst-off (older, disabled, low-caste, remote), scarce use of field-ready on-device compressed models, insufficient operational privacy analyses tied to country threat models, and a shortage of rigorous randomized or stepped-wedge trials that power intersectional subgroup effects. These gaps limit confidence that AI can equitably support marginalized women in tourism.</w:t>
      </w:r>
    </w:p>
    <w:p>
      <w:r>
        <w:t xml:space="preserve"> </w:t>
      </w:r>
    </w:p>
    <w:p>
      <w:pPr>
        <w:pStyle w:val="Heading2"/>
      </w:pPr>
      <w:r>
        <w:t>Abstract</w:t>
      </w:r>
    </w:p>
    <w:p>
      <w:r>
        <w:t>This study tests whether a responsible AI system, designed according to Rawls' priority for the worst-off and built to run on low-end devices with privacy safeguards, improves economic and empowerment outcomes for women entrepreneurs in tourism. We combine a randomized (or stepped-wedge cluster) trial with qualitative interviews and focus groups to measure effects on monthly net income, bookings, unpaid care hours, autonomy, and safety. The intervention uses lightweight on-device models and privacy-preserving learning techniques to operate offline and minimize central data exposure; community governance and layered consent are embedded. The main contribution is an interdisciplinary, justice-framed evaluation that links operational AI design choices (on-device inference, federated vs batched updates, differential privacy levels) to measured inclusivity outcomes among pre-specified worst-off quotas. Expected outcomes are clear, actionable evidence on whether and how ethically designed AI can increase sustained market access and agency for marginalized women in tourism, and which technical and governance configurations are feasible in low-resource field settings.</w:t>
      </w:r>
    </w:p>
    <w:p>
      <w:r>
        <w:t xml:space="preserve"> </w:t>
      </w:r>
    </w:p>
    <w:p>
      <w:pPr>
        <w:pStyle w:val="Heading2"/>
      </w:pPr>
      <w:r>
        <w:t>Experiments</w:t>
      </w:r>
    </w:p>
    <w:p>
      <w:r>
        <w:t>Datasets: (1) Baseline census of eligible women entrepreneurs across 3–5 pilot sites recording demographics, enterprise type, connectivity, device specs, and pre-intervention income; (2) trial data: enrollment registry, transaction logs (bookings, sales), app telemetry, on-device inference logs (no raw personal data centralized), and monthly self-reports; (3) qualitative data: semi-structured interviews and focus groups at baseline, 3, 12 months; (4) safety incident reports and time-use diaries. Baselines for comparison: (A) control group with no AI support; (B) centralized-AI condition (server-side inference, no DP); (C) non-prioritized AI (same features but without Rawlsian quota prioritization). Design: primary evaluation via individual-level RCT with ~200 participants per arm if feasible, or stepped-wedge cluster RCT with 15–25 clusters and 10–20 participants per cluster; overall target N = 600–900 to power subgroup tests. Power assumptions: detect Cohen's d ≈ 0.35 at 80% power, α=0.05; ICC range 0.02–0.05 for cluster designs. Randomization: stratify by enterprise type and pilot site; maintain worst-off quotas during enrollment with adaptive sampling. Metrics: primary: monthly net income (USD), autonomy index (composite from adapted WEAI/GEM items). Secondary: bookings/month, unpaid care hours saved, safety incident rate, engagement (active days/month), subgroup treatment differences (age, disability, caste, connectivity). Privacy/ML ablations: compare (i) federated learning with secure aggregation vs (ii) encrypted batched uploads fallback, and (iii) on-device inference only vs server-assisted inference. Differential privacy ablation: publish analytics with ε in {0.5, 1.0, 2.0} to measure utility loss. Evaluation procedures: intention-to-treat ATE estimation, linear mixed models for clustered data, difference-in-differences for stepped-wedge, Holm-Bonferroni correction for primary/secondary families, Benjamini-Hochberg for exploratory tests. Qualitative analysis: thematic coding with triangulation to explain mechanism and harms. Pre-analysis plan: register primary outcomes, covariates, subgroup tests, missing-data methods (multiple imputation), and stopping/contingency rules if interim attrition or quota shortfalls reduce power. Cadence: measurements at baseline, 3, 6, 12, 24 months.</w:t>
      </w:r>
    </w:p>
    <w:p>
      <w:r>
        <w:t xml:space="preserve"> </w:t>
      </w:r>
    </w:p>
    <w:p>
      <w:pPr>
        <w:pStyle w:val="Heading2"/>
      </w:pPr>
      <w:r>
        <w:t>Risk Factors And Limitations</w:t>
      </w:r>
    </w:p>
    <w:p>
      <w:r>
        <w:t>Technical failure modes: compressed models may not meet latency or accuracy targets on oldest devices, causing degraded UX or bias in recommendations. Federated learning infeasibility: high device churn, low connectivity, or insufficient compute may prevent secure aggregation at scale. Data and evaluation biases: quota enforcement and overlap rules may reduce effective sample size per subgroup and cause underpowered tests; self-reported income is subject to recall and social-desirability bias. Safety and social harms: AI-driven visibility could trigger intra-household reprisals, doxxing, or platform-based fraud. Privacy limits: differential privacy noise may reduce signal for rare but critical safety metrics. Legal and regulatory constraints: country-specific data laws or surveillance practices may restrict data flows or require disclosures. Generalization limits: results from specific tourism contexts and selected pilot countries may not extend to other sectors, cultures, or higher-resource settings. Operational constraints: device loss/theft, stipend-induced selection effects (undue inducement), high attrition, and limited NGO partner capacity can reduce sustained engagement and validity of findings.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