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gendered_precarity_indonesia</w:t>
      </w:r>
    </w:p>
    <w:p>
      <w:r>
        <w:t xml:space="preserve"> </w:t>
      </w:r>
    </w:p>
    <w:p>
      <w:pPr>
        <w:pStyle w:val="Heading2"/>
      </w:pPr>
      <w:r>
        <w:t>Title</w:t>
      </w:r>
    </w:p>
    <w:p>
      <w:r>
        <w:t>Mixed-methods construction and validation of a Gendered Precarity Index to measure women's economic insecurity in Indonesian manufacturing and service sectors</w:t>
      </w:r>
    </w:p>
    <w:p>
      <w:r>
        <w:t xml:space="preserve"> </w:t>
      </w:r>
    </w:p>
    <w:p>
      <w:pPr>
        <w:pStyle w:val="Heading2"/>
      </w:pPr>
      <w:r>
        <w:t>Short Hypothesis</w:t>
      </w:r>
    </w:p>
    <w:p>
      <w:r>
        <w:t>Higher scores on a multi-item Gendered Precarity Index (GPI) causally increase the probability of job exit and the incidence of catastrophic health claims among female workers in targeted Indonesian sectors within 12 months.</w:t>
      </w:r>
    </w:p>
    <w:p>
      <w:r>
        <w:t xml:space="preserve"> </w:t>
      </w:r>
    </w:p>
    <w:p>
      <w:pPr>
        <w:pStyle w:val="Heading2"/>
      </w:pPr>
      <w:r>
        <w:t>Related Work</w:t>
      </w:r>
    </w:p>
    <w:p>
      <w:r>
        <w:t>Prior work on gendered labor precarity combines surveys, administrative records, and qualitative studies to document wage gaps, informal employment, and care burdens. Common approaches build single-dimension measures (e.g., contract type or informal status) or ad-hoc indices, apply difference-in-differences or cross-sectional regressions for causal claims, and use respondent-driven sampling (RDS) for migrants. Limitations include weak external validation (few studies link indices to administrative health or turnover records), narrow treatment of seasonality and sectoral patterns, under-specified imputation and privacy procedures, fragile RDS assumptions without formative network diagnostics, and poor handling of staggered or heterogeneous policy exposure. Existing indices often omit unpaid care time, wage volatility, and employer contributions, and rarely publish pre-registered specifications or DP (differential privacy) utility analyses. These gaps reduce reproducibility, legal compliance, and the ability to make robust causal claims about women's strategies under globalized labor markets.</w:t>
      </w:r>
    </w:p>
    <w:p>
      <w:r>
        <w:t xml:space="preserve"> </w:t>
      </w:r>
    </w:p>
    <w:p>
      <w:pPr>
        <w:pStyle w:val="Heading2"/>
      </w:pPr>
      <w:r>
        <w:t>Abstract</w:t>
      </w:r>
    </w:p>
    <w:p>
      <w:r>
        <w:t>This study designs, pre-registers, and validates a Gendered Precarity Index (GPI) to measure how capitalist-driven labor structures produce economic and social insecurity for women in Indonesian manufacturing and service sectors. We combine a stratified multi-stage worker survey (target n≈8,000 with sector oversamples and an RDS migrant subsample n≈400–600), administrative linkages (BPS household surveys, BPJS claims, Kemnaker inspections, firm registries), and qualitative interviews/oral histories. At the measurement level we run exploratory and confirmatory factor analyses and principal component analysis to derive alternate GPI weights, and we pre-specify missing-data imputation (MICE) and validation benchmarks (predicting job exit, turnover, and catastrophic health claims). At the causal level we pre-register DiD, RD, and synthetic-control estimators, including staggered-treatment corrections. We also run formal differential-privacy utility experiments to assess trade-offs. The main contribution is a validated, transparent, and community-informed GPI with published code and decision rules that links lived experience to administrative outcomes, enabling testable claims about how precarity predicts labor and health adversities for women.</w:t>
      </w:r>
    </w:p>
    <w:p>
      <w:r>
        <w:t xml:space="preserve"> </w:t>
      </w:r>
    </w:p>
    <w:p>
      <w:pPr>
        <w:pStyle w:val="Heading2"/>
      </w:pPr>
      <w:r>
        <w:t>Experiments</w:t>
      </w:r>
    </w:p>
    <w:p>
      <w:r>
        <w:t>Datasets: (1) Primary survey: stratified multi-stage sample n≈8,000 (oversamples: garment 1,200; electronics 1,000; palm oil 1,000; fisheries 800; domestic/platform 1,000). (2) RDS migrant subsample: target n=400–600, seeds 8–10 per subgroup. (3) Administrative linkage: BPS (SUSENAS/SAKERNAS), BPJS Kesehatan &amp; Ketenagakerjaan claims, Kemnaker inspection records, Directorate General of Customs aggregates, OSS/firm registries. (4) Qualitative: 200–300 semi-structured interviews and 50 oral histories. Baselines: (A) no-index models using raw covariates; (B) equal-weight GPI; (C) sector-specific indices; (D) single-item measures (contract type, informality). Index construction: run EFA (exploratory factor analysis) then CFA (confirmatory factor analysis) and PCA (principal component analysis) to generate factor scores. Pre-specified index variants: equal-weight, PCA-weight, theory-weight (market insecurity 35%, social protection 25%, care burden 20%, hazards 20%). Missing data: MICE (multiple imputation by chained equations) with auxiliary predictors {age, education, sector, district, household size, prior earnings}; imputations m=20; diagnostics: trace plots, between/within imputation variance, fraction missing information. Validation metrics: AUC/ROC for binary outcomes (job exit, catastrophic BPJS claim), ΔR² for continuous outcomes (earnings trajectory, self-rated health), calibration plots, precision/recall. Causal tests: DiD with district×time fixed effects and staggered-treatment estimators (e.g., Sun &amp; Abraham or Callaway &amp; Sant'Anna implementations) for policy or shock exposures; RD around firm-size or program cutoffs with McCrary and covariate continuity tests; synthetic control for region-level interventions with placebo runs. Clustering: cluster SEs at district. Power and sampling assumptions: clusters ~25 respondents, ICC 0.01–0.05, DEFF 1.5–2.0; pilot 100–300 respondents to estimate response rates and RDS network diagnostics (mean degree, homophily, bottlenecks, wave depth). Ablation and comparisons: (1) weight schemes (equal vs PCA vs theory); (2) leave-one-out indicator ablations (drop each GPI item); (3) imputation strategy ablation (complete-case vs MICE); (4) DP noise levels ablation (ε in {0.5,1.0,2.0}, δ=1e-6) measuring AUC and ΔR² degradation; (5) RDS vs venue-based sampling for migrants. Pre-registration: all index specs, estimands, ci methods, imputation models, and DP experiments to be published before analysis.</w:t>
      </w:r>
    </w:p>
    <w:p>
      <w:r>
        <w:t xml:space="preserve"> </w:t>
      </w:r>
    </w:p>
    <w:p>
      <w:pPr>
        <w:pStyle w:val="Heading2"/>
      </w:pPr>
      <w:r>
        <w:t>Risk Factors And Limitations</w:t>
      </w:r>
    </w:p>
    <w:p>
      <w:r>
        <w:t>1) Data access delays or denial: administrative custodians (BPS, BPJS, Kemnaker) may take months or refuse linkage, limiting validation. 2) RDS failure: weak network connectivity, high homophily, or recruitment bottlenecks can bias migrant subsample and reduce representativeness. 3) Measurement error: recall bias in wage histories and time-use diaries and seasonal work patterns can distort wage volatility and unpaid-care measures. 4) Missing data and attrition: high item nonresponse (&gt;30%) or panel attrition will weaken imputation plausibility and causal inference. 5) Differential privacy trade-offs: DP noise (ε choices) can degrade AUC/ΔR², reducing ability to validate the GPI on administrative outcomes. 6) Legal and cross-border storage constraints: PDP law and MOU limits on international backups may restrict analytic workflows and sharing. 7) Causal identification limits: staggered treatments, unobserved confounders, and small treatment variation across clusters may bias DiD/RD estimates and limit subgroup power. 8) External validity: results may not generalize beyond sampled sectors, regions, or to male workers. 9) Political and safety risks: fieldwork may expose participants or staff to retaliation in hostile contexts. 10) Resource limits: linkage, large samples, and DP experiments require budget and technical capacity that may constrain full implementation.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