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ownership_moderates_human_security_retention</w:t>
      </w:r>
    </w:p>
    <w:p>
      <w:r>
        <w:t xml:space="preserve"> </w:t>
      </w:r>
    </w:p>
    <w:p>
      <w:pPr>
        <w:pStyle w:val="Heading2"/>
      </w:pPr>
      <w:r>
        <w:t>Title</w:t>
      </w:r>
    </w:p>
    <w:p>
      <w:r>
        <w:t>Structural equation modelling of university ownership as a moderator of the relationship between academic staff human security and job retention in Jordanian universities</w:t>
      </w:r>
    </w:p>
    <w:p>
      <w:r>
        <w:t xml:space="preserve"> </w:t>
      </w:r>
    </w:p>
    <w:p>
      <w:pPr>
        <w:pStyle w:val="Heading2"/>
      </w:pPr>
      <w:r>
        <w:t>Short Hypothesis</w:t>
      </w:r>
    </w:p>
    <w:p>
      <w:r>
        <w:t>University ownership moderates the effect of academic staff human security on job retention: higher human security causes greater job retention more strongly in public universities than in private universities.</w:t>
      </w:r>
    </w:p>
    <w:p>
      <w:r>
        <w:t xml:space="preserve"> </w:t>
      </w:r>
    </w:p>
    <w:p>
      <w:pPr>
        <w:pStyle w:val="Heading2"/>
      </w:pPr>
      <w:r>
        <w:t>Related Work</w:t>
      </w:r>
    </w:p>
    <w:p>
      <w:r>
        <w:t>Prior work links staff human-security dimensions (employment security, pay, workplace safety, academic freedom, social protections) to retention using cross-sectional surveys, regression and multilevel models, and occasional structural equation models (SEM). Other studies use difference-in-differences (DiD), instrumental variables (IV) or event studies to address causal claims where longitudinal or policy-change data exist. Limitations in existing approaches include weak handling of measurement validity (lack of psychometric invariance testing across groups), low power for cross-level interaction tests, limited use of administrative time-to-exit outcomes, insufficient pre-specification against ownership endogeneity (ownership changes often endogenous to distress), and sparse integration of qualitative mechanism evidence. Few studies operationalize a detailed ownership typology (public, private non-profit, private for-profit, hybrid) and test moderation by ownership with robust power analysis and privacy-preserving administrative linkage.</w:t>
      </w:r>
    </w:p>
    <w:p>
      <w:r>
        <w:t xml:space="preserve"> </w:t>
      </w:r>
    </w:p>
    <w:p>
      <w:pPr>
        <w:pStyle w:val="Heading2"/>
      </w:pPr>
      <w:r>
        <w:t>Abstract</w:t>
      </w:r>
    </w:p>
    <w:p>
      <w:r>
        <w:t>This study tests whether university ownership changes how academic staff human security affects job retention in Jordanian universities. We combine a cross-sectional online survey of academic staff (n=356) with structural equation modelling (SEM) to treat human security as a latent variable measured by five dimensions: employment, economic, workplace safety/psychosocial, academic freedom, and social protections. Ownership (public vs private; with a typology for non-profit, for-profit, hybrid) is entered as a moderator to estimate the HumanSecurity × Ownership interaction. We preregister psychometric rules (CFA fit thresholds and invariance tests), simulate power across intraclass correlations (ICCs) and institution counts, and run robustness checks including multilevel SEM, survival models for time-to-exit where administrative records are available, and sensitivity analyses for missing data. Main contributions are (1) a validated measurement model of human security, (2) a preregistered causal-moderation test of ownership effects, and (3) transparent simulation-based power guidance. Expected outcome: clear estimates of whether and how ownership alters the human security → retention link, informing policy on governance and staff protections.</w:t>
      </w:r>
    </w:p>
    <w:p>
      <w:r>
        <w:t xml:space="preserve"> </w:t>
      </w:r>
    </w:p>
    <w:p>
      <w:pPr>
        <w:pStyle w:val="Heading2"/>
      </w:pPr>
      <w:r>
        <w:t>Experiments</w:t>
      </w:r>
    </w:p>
    <w:p>
      <w:r>
        <w:t>Datasets: (A) Primary: cross-sectional online survey of academic staff in Jordanian universities (public, private non-profit, private for-profit, hybrid), n=356 respondents; item-level responses on five human-security dimensions and 3–5 item intent-to-stay scale. (B) Administrative HR extracts when available: time-to-exit (termination/resignation dates), contract renewals, pay band. (C) Simulation data: multilevel power simulations using simr across ICCs {0.01,0.05,0.10} and institution counts per ownership×treatment cell = {10,15,20,40}. Baselines: (1) SEM without interaction (human security → retention), (2) multilevel mixed-effects model (random intercepts only), (3) Cox proportional hazards or discrete-time survival for time-to-exit, (4) logistic regression on contract non-renewal, (5) intent-to-stay OLS. Primary model: confirmatory factor analysis (CFA) to estimate latent HumanSecurity, then SEM with structural path to retention and explicit HumanSecurity×Ownership interaction term. Psychometrics: EFA then CFA, graded-response IRT for items, invariance tests (configural→metric→scalar). Estimation: robust maximum likelihood (MLR) or weighted least squares for ordinal items; bootstrapped 95% CIs for interaction. Evaluation metrics: CFA fit indices (CFI, RMSEA, SRMR), standardized beta of interaction, p-value and 95% CI, hazard ratios and concordance index for survival models, R^2 for continuous outcomes, AIC/BIC for model comparison, minimum detectable effect sizes from simr. Ablation studies: (A) remove academic-freedom items and re-estimate latent construct; (B) collapse hybrid ownership into nearest category and compare interaction estimates; (C) run models with and without measurement invariance anchors. Robustness checks: multilevel SEM with random slopes for HumanSecurity, multiple imputation (≥20 imputations) for missing data, pattern-mixture MNAR sensitivity, propensity-score weighting for ownership comparison, and alternative causal checks: staggered-DiD (Callaway–Sant’Anna) if ownership-change dates exist, IV estimates with prelisted candidates. Report full code, simr scenarios, and model diagnostics.</w:t>
      </w:r>
    </w:p>
    <w:p>
      <w:r>
        <w:t xml:space="preserve"> </w:t>
      </w:r>
    </w:p>
    <w:p>
      <w:pPr>
        <w:pStyle w:val="Heading2"/>
      </w:pPr>
      <w:r>
        <w:t>Risk Factors And Limitations</w:t>
      </w:r>
    </w:p>
    <w:p>
      <w:r>
        <w:t>Limited sample size (n=356) may lack power to detect small HumanSecurity×Ownership interactions, especially with many ownership strata. Cross-sectional survey design limits causal inference and temporal ordering; ownership endogeneity (e.g., sale during financial distress) may bias moderation estimates. Measurement risks: failure of CFA fit or measurement invariance across ownership types or languages. Administrative linkage may be infeasible due to DSAs or legal barriers, reducing ability to use time-to-exit outcomes. Nonresponse and missing data may bias estimates if missing not at random. Typology ambiguity: hybrid institutions may be heterogeneous and dilute effects. Statistical risks: multilevel SEM can be computationally heavy and sensitive to small cluster counts; survival models require reliable event timestamps. Generalizability is limited to Jordanian higher education contexts and similar institutional systems.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