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risk_management_watching_america</w:t>
      </w:r>
    </w:p>
    <w:p>
      <w:r>
        <w:t xml:space="preserve"> </w:t>
      </w:r>
    </w:p>
    <w:p>
      <w:pPr>
        <w:pStyle w:val="Heading2"/>
      </w:pPr>
      <w:r>
        <w:t>Title</w:t>
      </w:r>
    </w:p>
    <w:p>
      <w:r>
        <w:t>A risk-management framework and mixed-method evaluation of translational decision-making in Arabic-to-English media translations on Watching America</w:t>
      </w:r>
    </w:p>
    <w:p>
      <w:r>
        <w:t xml:space="preserve"> </w:t>
      </w:r>
    </w:p>
    <w:p>
      <w:pPr>
        <w:pStyle w:val="Heading2"/>
      </w:pPr>
      <w:r>
        <w:t>Short Hypothesis</w:t>
      </w:r>
    </w:p>
    <w:p>
      <w:r>
        <w:t>Translations that meet automatic detector thresholds (model confidence &lt; 0.60 OR stance-probability delta ≥ 0.25 OR sentiment delta ≥ 0.30 OR named-entity fidelity &lt; 0.95) have a greater probability of being annotated as high harm severity by human raters than translations that do not meet these thresholds.</w:t>
      </w:r>
    </w:p>
    <w:p>
      <w:r>
        <w:t xml:space="preserve"> </w:t>
      </w:r>
    </w:p>
    <w:p>
      <w:pPr>
        <w:pStyle w:val="Heading2"/>
      </w:pPr>
      <w:r>
        <w:t>Related Work</w:t>
      </w:r>
    </w:p>
    <w:p>
      <w:r>
        <w:t>Previous work covers three related strands: automated translation quality metrics (e.g., COMET, BLEURT, BERTScore) that measure general adequacy but are weak at ideological or framing drift; stance and framing detection research that classifies sentiment or frames but rarely evaluates cross-language shifts; and media-translation and volunteer translation studies that document editorial heuristics and cultural adaptation but lack systematic, quantitative risk models. Limitations in prior work include (a) weak integration of automatic detectors with human adjudication and legal escalation, (b) few reproducible thresholds or calibration protocols linking model confidence to human harm labels, (c) inadequate handling of rare, high-severity events, and (d) limited accounting for culture-bound framing or translator strategies (domestication vs foreignization) when assessing risk. There is no established pipeline combining stratified sampling, calibrated detectors, legal redaction rules, and mixed-effects modeling to predict harm from translation shifts.</w:t>
      </w:r>
    </w:p>
    <w:p>
      <w:r>
        <w:t xml:space="preserve"> </w:t>
      </w:r>
    </w:p>
    <w:p>
      <w:pPr>
        <w:pStyle w:val="Heading2"/>
      </w:pPr>
      <w:r>
        <w:t>Abstract</w:t>
      </w:r>
    </w:p>
    <w:p>
      <w:r>
        <w:t>We address how volunteer Arabic-to-English translations on the Watching America platform can produce stance or framing changes that increase reputational or public-harm risk. We propose a risk-management pipeline that combines stratified corpus sampling, human annotation with clear decision rules, calibrated automatic detectors for stance, framing, sentiment, and named-entity fidelity, and a composite risk score that links automatic signals to human-rated harm via hierarchical models. The method uses mixed qualitative and quantitative analysis: three annotators plus adjudication per item, 5-fold cross-validation for detectors, and a held-out test set for calibration and evaluation. Main contributions are (1) operational label definitions and unitization rules for stance, framing, and harm severity; (2) pre-registered numeric escalation thresholds and calibration procedures; and (3) an empirical mapping from automatic metrics to human harm labels, including sensitivity to weight choices. Expected outcomes are reproducible thresholds for escalation, validated detectors with calibration metrics, and a ranked set of high-risk translations for legal review and scholarly analysis.</w:t>
      </w:r>
    </w:p>
    <w:p>
      <w:r>
        <w:t xml:space="preserve"> </w:t>
      </w:r>
    </w:p>
    <w:p>
      <w:pPr>
        <w:pStyle w:val="Heading2"/>
      </w:pPr>
      <w:r>
        <w:t>Experiments</w:t>
      </w:r>
    </w:p>
    <w:p>
      <w:r>
        <w:t>Datasets: Watching America corpus of Arabic source articles and corresponding English translations; pilot stratified sample N=240 (strata: outlet ideology left/center/right, genre news/opinion/interview, US region, date-bins recent/1-3yrs/older, translation origin human/machine). Reserve 15% (36 items) as held-out test. Annotators: 3 bilingual annotators per item + senior adjudicator; qualification pass &gt;=80%. Baselines: (A) raw translated text without detectors, (B) automated quality metrics only (COMET, BLEURT, BERTScore), (C) detectors calibrated without legal/defamation flags. Models and detectors: stance classifier, framing detector (multi-class none/small/major), sentiment scorer, named-entity linker, composite risk model using hierarchical logistic regression (documents nested within outlet strata). Evaluation metrics: area under precision-recall curve (AUPR) for detectors, Brier score and Expected Calibration Error (ECE) for calibration, Cohen's kappa and Krippendorff's alpha with 95% bootstrap CIs for IAA, precision/recall/F1 for high-harm class, odds ratio linking flagged vs unflagged items to high-harm annotations, and sensitivity analyses for composite-weights ±20%. Experimental setup: 5-fold cross-validation during training; calibration via temperature scaling and isotonic regression; report bootstrap (1,000 resamples) 95% CIs for all metrics. Comparisons/ablations: (1) full pipeline vs baseline (B) to measure added predictive power for harm labels; (2) composite weighting: expert-elicited weights vs regression-learned weights; (3) threshold ablation: vary confidence floor {0.50,0.60,0.70} and stance delta {0.15,0.25,0.35}; (4) cultural-feature ablation: include vs exclude culture-bound markers (domestication/foreignization) in detectors; (5) adversarial robustness: run paraphrase, entity-swap, and hedging perturbations and measure change in detector flags and composite risk. Statistical testing: mixed-effects models with outlet and annotator random effects; control multiplicity using Benjamini-Hochberg false discovery rate (FDR) for sets of related tests.</w:t>
      </w:r>
    </w:p>
    <w:p>
      <w:r>
        <w:t xml:space="preserve"> </w:t>
      </w:r>
    </w:p>
    <w:p>
      <w:pPr>
        <w:pStyle w:val="Heading2"/>
      </w:pPr>
      <w:r>
        <w:t>Risk Factors And Limitations</w:t>
      </w:r>
    </w:p>
    <w:p>
      <w:r>
        <w:t>Annotation disagreement and subjectivity: interpretive labels (framing, harm) may have lower agreement and high variance across dialects. Low-prevalence high-harm events: rare harms will produce low statistical power and require enrichment or stratified oversampling. Threshold priors: initial numeric cutpoints are heuristics and may not generalize; they can produce workload or missed harms if mis-set. Jurisdictional legal variability: defamation and privacy rules differ by country and may make action mapping inconsistent. Data bias and representativeness: Watching America content and volunteer translations may not reflect broader Arabic media, limiting generalization. Adversarial manipulation: intentional or inadvertent paraphrases may evade detectors. Compute and scale limits: detector calibration, bootstrapping, and hierarchical modeling on large corpora require substantial compute. Metric interpretability: automatic scores (COMET/BLEURT) do not directly equal legal or ethical harm; mapping may be imprecise. Controlled-access constraints: legal redaction and license restrictions may reduce available evaluation data and reproducibility.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