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globalization_democracy_jordan_saudi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Comparative causal analysis using synthetic control, instrumental variables, and NLP of globalization's impact on democratic reality in Jordan and Saudi Arabia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Net shocks to globalization exposure predominantly undermine democratic reality (procedural rules, substantive representation, and everyday freedoms) in Jordan and Saudi Arabia between 2000 and 2025.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assess globalization and democracy using cross-sectional correlations, event studies, difference-in-differences, synthetic control, and instrumental-variable (IV) strategies. Computational work applies NLP to detect censorship and protest signals, while surveys measure attitudes and experiences. Limitations remain: simple cross-sectional methods suffer endogeneity and omitted-variable bias; many IV studies give weak or contestable exclusion narratives; synthetic control can fail when treated units lie outside the donor convex hull; event studies often ignore spillovers across close-connected states; NLP pipelines lack dialectal adaptation causing domain-shift errors; measurement models rarely test cross-country measurement invariance; and survey modules for sensitive political behavior are underpowered or biased by social desirability. Few studies pre-register numeric decision rules for abandoning instruments or for switching analytic strategies, leaving robustness and reproducibility gaps.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tests whether globalization shocks mainly enable or undermine democratic reality in Jordan and Saudi Arabia from 2000–2025. We combine synthetic control, pre-registered instrumental-variable (IV) designs, event-study and staggered difference-in-differences, subnational DiD, and NLP-based measurement of digital repression. We construct a transparent Democratic Reality index spanning procedural rules, substantive representation, and everyday freedoms, and validate it against multiple sources. Key contributions are (1) a pre-registered decision framework with numeric falsification thresholds for IVs and synthetic-control diagnostics; (2) explicit spillover-aware estimators and exposure definitions; and (3) dialect-adapted NLP classifiers and annotated corpora for local Arabic. Expected outcomes are reproducible causal estimates of globalization channels (oil-price, remittance/tourism shocks, GCC diplomatic events, platform outages) on democratic reality, clear rules for accepting or rejecting identification strategies, and public aggregated indicators to inform comparative politics and policy debates.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country-year panels (2000–2025) including V-Dem indicators, Polity scores, Freedom House scores, ACLED event data, World Bank remittances and tourism receipts, OECD CRS donor flows, IMF fiscal variables, daily oil-price series, platform outage logs, Citizen Lab/OONI incident datasets, Arabic corpora (OSCAR subset, Arabic Twitter, Newswire), and telecom-based survey frames and pilot survey data. Baselines: (A) OLS and pooled DiD; (B) staggered DiD without spillover correction; (C) synthetic control without donor-pool adjustments; (D) IV using oil price or global demand with no Conley bounds; (E) NLP classifiers trained without dialect adaptation. Main methods: synthetic control with pre-registered donor pools; IV with Conley bounds (Conley = method for allowing small direct effects; see below); event-study windows; spatial DiD with exposure weights; Bayesian latent-variable index (first-PC primary). Evaluation metrics: estimated average treatment effect (ATE) with robust SEs, RMSPE (root-mean-square prediction error) pre/post for synthetic control, IV first-stage F-statistic (&gt;10 threshold), overidentification p-value (&gt;0.05 acceptable), Conley bound magnitude relative to outcome SD, change-in-CFI (comparative fit index) and RMSEA for invariance tests, classifier Precision/Recall/F1 and AUC, intercoder reliability (Krippendorff's alpha &gt;0.8 target). Pre-registered decision rules: abandon IV if overid p-value &lt;0.01 or first-stage F &lt;10; down-weight or abandon IV if Conley plausible direct-effect bound exceeds 0.10 outcome-SD; for synthetic control, if treated unit lies outside convex hull or pretreatment RMSPE &gt;2× median placebo RMSPE then switch to Bayesian structural model or parametric DiD; for spillovers, pre-register exposure definitions and three functional forms (linear exposure, exponential distance-decay, step-threshold at 10% neighbor migrant/trade share) and report all. Measurement invariance tests: multi-group CFA with thresholds ΔCFI&gt;0.01 or ΔRMSEA&gt;0.015 indicating failure; flagged items with IRT DIF p&lt;0.01 or effect &gt;0.25 logits will be reweighted or removed in robustness analyses. Power and sampling: primary cross-sectional N=1,200 per country (design effect deff=1.5) yields minimum detectable effects (MDE) of 0.15 SD for procedural outcomes and 0.12 SD for everyday freedoms at α=0.05, power=0.8; list-experiment modules will be scaled if pilot simulations show required N&gt;1,800. Ablations: (1) remove spillover correction; (2) synthetic control donor-pool variants (GCC-only vs GCC+regional); (3) NLP without dialectal fine-tuning; (4) composite index via equal-weight vs PCA vs Bayesian latent factor. Reproducibility: pre-register analysis scripts, synthetic-control donor lists, IV definitions, exposure matrices, and NLP training/test splits. All numeric thresholds and fallback switches are recorded in the pre-analysis plan.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endogeneity: IVs (oil price, COVID shocks, GCC events, platform outages) may violate exclusion restrictions if they affect outcomes through unobserved channels. Convex-hull failure: treated units may not be well approximated by donor pools, limiting synthetic-control validity. Measurement non-invariance: survey items and archival indicators may function differently across countries, dialects, or social groups, biasing composites. Survey biases: nonresponse, social desirability, and unsafe field conditions may reduce data quality or limit sample representativeness. Spillovers: cross-border media, migration, and trade create interference that complicates causal attribution under SUTVA (assumes no spillovers). NLP domain shift: dialectal variation, censorship obfuscation, and adversarial text manipulation can reduce classifier accuracy. Small-sample or low-prevalence outcomes: rare event detection (e.g., protest participation) may be underpowered. Legal and ethical constraints: local laws or partner risks may force data withholding or aggregation, limiting granularity. Computational limits: training large NLP models and running Bayesian structural models may require high compute and slow iterations. Generalizability: findings from Jordan and Saudi Arabia may not transfer to other regional contexts with different political economies.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