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big_five_entrepreneurial_intentions_qu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descriptive-analytical survey study of the impact of the Big Five personality traits on entrepreneurial intentions among Qatar University students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extraversion, openness, conscientiousness, and emotional stability (lower neuroticism) cause higher self-reported entrepreneurial intentions among Qatar University students.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commonly uses cross-sectional surveys and structural equation models to link Big Five personality traits to entrepreneurial intentions. Prior approaches often rely on classical test theory (scale scores and Cronbach's alpha), single-group CFA, and small or convenience samples. Limitations include weak attention to measurement equivalence across languages and subgroups, limited item-level analyses (no IRT/DIF), insufficient power analyses for mediation and latent interactions, inadequate treatment of ordinal item estimators, and little handling of response styles (acquiescence/social desirability). Many studies also report aggregated self-report outcomes without triangulating administrative proxies or testing privacy-preserving data sharing. These gaps reduce confidence that reported trait-to-intention effects are robust, unbiased, and culturally valid in non-Western student populations.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the Big Five personality traits affect entrepreneurial intentions among Qatar University students using a descriptive-analytical survey approach. We analyze bilingual (Arabic/English) questionnaire data to test direct trait effects and indirect effects through entrepreneurial self-efficacy, risk propensity, and entrepreneurial alertness. Main contributions are (1) rigorous measurement validation including item-level functioning checks, (2) pre-registered structural models with mediation and latent interactions, and (3) reproducible Monte Carlo power analysis to translate effect-size scenarios into recruitment targets. Expected outcomes are validated trait scales for this context, quantified direct and mediated trait effects on entrepreneurial intentions, and a documented measurement and analysis pipeline that balances cultural validity with privacy-sensible data sharing. The results will clarify which personality traits most strongly predict entrepreneurial intent in this student population and provide pre-registered analytic rules for future cross-cultural studies.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survey dataset of Qatar University student responses (n≈502); subsamples by gender, nationality, and faculty; secondary administrative proxies where available (program participation, entrepreneurship course enrollment, competition submissions). Baselines: (A) classical approach using summed scale scores and OLS regression; (B) standard CFA + SEM without item-level DIF corrections; (C) CFA with partial invariance but no IRT. Proposed models: (1) graded response IRT (GRM) for item parameters and DIF detection; (2) WLSMV ordinal CFA for invariance ladder (configural, metric, scalar); (3) structural equation models (SEM) with mediators (entrepreneurial self-efficacy, risk propensity, alertness); (4) latent-interaction models estimated via product indicators with robust ML and, separately, XWITH/LMS in Mplus. Evaluation metrics: model fit indices (CFI, RMSEA, SRMR), reliability (McDonald’s omega), DIF effect sizes (ΔR2, absolute parameter differences |Δβ|), standardized path coefficients (β), bootstrap 95% CIs for indirect effects (5000 resamples), power and bias from Monte Carlo (1000–5000 reps per condition). Experimental setup: (a) run GRM DIF tests (likelihood-ratio and Wald) with iterative anchor purification; (b) compare SEM estimates before vs after removing or revising DIF items (ablation); (c) compare latent-interaction estimates from product indicators vs XWITH/LMS; (d) run Monte Carlo scenarios for standardized effects {0.10,0.20,0.30} and group ratios balanced/2:1/4:1 to produce power curves and recommended total and subgroup Ns; (e) sensitivity analyses for missing data: FIML, multiple imputation (m=50), and MNAR delta-adjustment grid. Report both weighted and unweighted results and document reproducible scripts (renv/Docker, fixed seeds).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noninvariance: items may function differently across Arabic/English forms or subgroups, limiting valid comparisons. Response-style bias: acquiescence or social desirability may distort trait and intention estimates, and reverse-keyed items can perform poorly in some cultural contexts. Sample composition: university student sample limits generalization to older or nonstudent populations; subgroup sizes may be too small for some moderator tests. Missing data: MNAR patterns (nonrandom dropout) can bias mediation estimates. Latent interaction estimation: product-indicator and LMS methods can have convergence or identification failures, especially with small groups. Privacy constraints: aggregation to preserve k-anonymity reduces variable granularity and may limit subgroup analyses. Instrument selection/licensing: chosen validated scales may require permissions or may not have validated short Arabic forms. Computational limits: extensive Monte Carlo and IRT models require substantial CPU time. Evaluation bias: reliance on self-reported entrepreneurial intention may not predict actual entrepreneurial behavior.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