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makassar_street_children_adaptive_policy</w:t>
      </w:r>
    </w:p>
    <w:p>
      <w:r>
        <w:t xml:space="preserve"> </w:t>
      </w:r>
    </w:p>
    <w:p>
      <w:pPr>
        <w:pStyle w:val="Heading2"/>
      </w:pPr>
      <w:r>
        <w:t>Title</w:t>
      </w:r>
    </w:p>
    <w:p>
      <w:r>
        <w:t>Phenomenological mixed-methods study to inform adaptive policies for street children and beggars in Makassar City</w:t>
      </w:r>
    </w:p>
    <w:p>
      <w:r>
        <w:t xml:space="preserve"> </w:t>
      </w:r>
    </w:p>
    <w:p>
      <w:pPr>
        <w:pStyle w:val="Heading2"/>
      </w:pPr>
      <w:r>
        <w:t>Short Hypothesis</w:t>
      </w:r>
    </w:p>
    <w:p>
      <w:r>
        <w:t>Targeted outreach combined with coordinated inter-agency case management increases the probability of family reunification within six months for street-connected children in pilot wards compared with standard municipal practice.</w:t>
      </w:r>
    </w:p>
    <w:p>
      <w:r>
        <w:t xml:space="preserve"> </w:t>
      </w:r>
    </w:p>
    <w:p>
      <w:pPr>
        <w:pStyle w:val="Heading2"/>
      </w:pPr>
      <w:r>
        <w:t>Related Work</w:t>
      </w:r>
    </w:p>
    <w:p>
      <w:r>
        <w:t>Existing approaches to addressing street-connected children combine ethnographic fieldwork, time-location sampling (TLS) counts, household surveys, and service referrals. Evaluations commonly use before-after comparisons, small cohorts, or cross-sectional surveys; some use stepped-wedge rollouts to assess program effects while scaling. Mental health and substance use are typically measured with standardized screens adapted to local languages. Qualitative analysis often uses thematic coding tools (software like NVivo) to extract lived experiences. Limitations across prior work include: weak integration between deep qualitative insights and quasi-experimental impact estimates; small or underpowered quantitative samples with uncertain intracluster correlation (ICC) assumptions; limited pre-specification of stepped-wedge parameters and interim rules; inconsistent safeguarding and data-governance procedures; measurement bias from TLS visibility assumptions; and poor documentation of referral capacity and saturation risks. Many studies also rely on punitive enforcement approaches rather than protective, adaptive policy designs.</w:t>
      </w:r>
    </w:p>
    <w:p>
      <w:r>
        <w:t xml:space="preserve"> </w:t>
      </w:r>
    </w:p>
    <w:p>
      <w:pPr>
        <w:pStyle w:val="Heading2"/>
      </w:pPr>
      <w:r>
        <w:t>Abstract</w:t>
      </w:r>
    </w:p>
    <w:p>
      <w:r>
        <w:t>This study addresses the problem of street children and beggars in Makassar City by combining phenomenological fieldwork with a reproducible mixed-methods evaluation to produce adaptive, locally appropriate policy recommendations. We will conduct in-depth interviews and focus groups analyzed with NVivo to surface lived experiences and barriers to reunification, alongside quantitative measurement: TLS counts, a cluster-based household survey (≈500 respondents), a cohort of case-managed families (n≈30) and a stepped-wedge pilot across wards. The main contribution is an integrated, auditable package: a prespecified statistical analysis plan, power tables varying ICCs and baseline reunification, data-governance/MoU templates, and a tested referral-and-safeguarding pipeline. Expected outcomes are: (1) credible estimates of intervention effect on family reunification at six months, (2) contextualized mechanisms from qualitative analysis explaining uptake and barriers, and (3) operational SOPs and costed pilot budgets to enable municipal adoption. Results will inform adaptive policy decisions grounded in both robust quantitative evidence and community-validated qualitative insights.</w:t>
      </w:r>
    </w:p>
    <w:p>
      <w:r>
        <w:t xml:space="preserve"> </w:t>
      </w:r>
    </w:p>
    <w:p>
      <w:pPr>
        <w:pStyle w:val="Heading2"/>
      </w:pPr>
      <w:r>
        <w:t>Experiments</w:t>
      </w:r>
    </w:p>
    <w:p>
      <w:r>
        <w:t>Datasets: (1) TLS hotspot counts collected in each pilot ward with two independent same-day passes per TLS event; (2) household survey n≈500 (25 clusters × 20 households) screening for children 5–17 with recent street exposure; (3) longitudinal cohort of n≈30 case-managed families followed monthly for 6–12 months; (4) administrative referral logs and shelter bed usage; (5) qualitative interviews and focus groups (≈40–60 participants) transcribed and coded in NVivo. Baselines: standard municipal practice (no coordinated outreach/case management) and a minimal-intervention arm (outreach only). Evaluation metrics: Primary: family reunification within 6 months (binary). Secondary: school reenrollment at 6 months (binary), days off-street per month (count), 12-month recidivism (binary), service uptake within 30 days (binary), validated mental-health screen scores (PHQ-9, SDQ) and cost per stabilized case (USD). Quality metrics: intercoder agreement (Krippendorff’s alpha) for NVivo themes, test–retest reliability for instruments (intraclass correlation). Experimental setup: stepped-wedge rollout across 6 wards in 3 steps (two wards per step) with 2-month step length; ward-period sample ~100 respondents for cross-sectional TLS/surveys per step. Primary analysis: mixed-effects logistic regression for reunification with fixed effects for step indicators or continuous time (compare both), random intercepts for ward and individual where applicable; robust SEs clustered at ward. Count outcomes analyzed with mixed-effects negative binomial models. Capture–recapture estimators applied to paired TLS passes to estimate total street-connected population. Comparison/ablation studies: (A) full intervention (outreach + case management + community participation) vs outreach-only to isolate case-management effect; (B) stepped-wedge analysis specifying fixed step indicators vs continuous time trend as alternate models; (C) inclusion vs exclusion of migrants/stateless subgroup to test heterogeneity. Power and sensitivity: produce reproducible power tables and R scripts that vary baseline reunification prevalence (e.g., 0.10–0.50), ICC (0.005–0.05), and secular trends; report minimum detectable effect (MDE) for each scenario. Data handling: encrypted geolocated digital collection, pseudonymized IDs with salted hashing, and predefined MoU for data sharing.</w:t>
      </w:r>
    </w:p>
    <w:p>
      <w:r>
        <w:t xml:space="preserve"> </w:t>
      </w:r>
    </w:p>
    <w:p>
      <w:pPr>
        <w:pStyle w:val="Heading2"/>
      </w:pPr>
      <w:r>
        <w:t>Risk Factors And Limitations</w:t>
      </w:r>
    </w:p>
    <w:p>
      <w:r>
        <w:t>Rare primary events: low baseline reunification rates make estimation unstable and may require rare-event corrections (e.g., Firth penalization). ICC uncertainty: wrong ICC assumptions can underpower the study. Contamination: services or outreach may spill over between neighboring wards, diluting effects. TLS bias: visibility assumptions (when and where children appear) can bias count estimates. Nonresponse and attrition: mobile populations and caregiver absence increase missing data and loss to follow-up. Ethical and safeguarding constraints: delegated consent and immediate protection needs complicate sampling and may limit representativeness. Referral capacity: limited shelter or clinic capacity can create bottlenecks and affect outcome measurement. Qualitative limits: phenomenological findings may not generalize beyond Makassar. Operational risks: staff turnover, security for enumerators at night, and data-governance failures (breach or HSM mismanagement). Computational limits: mixed-effects models and capture–recapture with many sensitivity scenarios require modest but nontrivial analytic capacity. External shocks: policy changes or enforcement sweeps during rollout can confound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