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efl_publication_barriers_east_java</w:t>
      </w:r>
    </w:p>
    <w:p>
      <w:r>
        <w:t xml:space="preserve"> </w:t>
      </w:r>
    </w:p>
    <w:p>
      <w:pPr>
        <w:pStyle w:val="Heading2"/>
      </w:pPr>
      <w:r>
        <w:t>Title</w:t>
      </w:r>
    </w:p>
    <w:p>
      <w:r>
        <w:t>A sequential explanatory mixed-methods evaluation of interventions to increase Scopus and Web of Science publication success among EFL academics in private universities in East Java</w:t>
      </w:r>
    </w:p>
    <w:p>
      <w:r>
        <w:t xml:space="preserve"> </w:t>
      </w:r>
    </w:p>
    <w:p>
      <w:pPr>
        <w:pStyle w:val="Heading2"/>
      </w:pPr>
      <w:r>
        <w:t>Short Hypothesis</w:t>
      </w:r>
    </w:p>
    <w:p>
      <w:r>
        <w:t>Participation in structured manuscript-cohort clinics increases the probability of acceptance in Scopus- or Web of Science-indexed journals within 12 months compared with no participation, after controlling for prior publications, international co-authorship, and institutional support.</w:t>
      </w:r>
    </w:p>
    <w:p>
      <w:r>
        <w:t xml:space="preserve"> </w:t>
      </w:r>
    </w:p>
    <w:p>
      <w:pPr>
        <w:pStyle w:val="Heading2"/>
      </w:pPr>
      <w:r>
        <w:t>Related Work</w:t>
      </w:r>
    </w:p>
    <w:p>
      <w:r>
        <w:t>Existing approaches to understanding academic publication outcomes include bibliometric analyses that quantify outputs and networks, survey-based studies that report perceived barriers, psychometric scale development for barrier measurement, and short-format writing interventions or workshops. Bibliometric work often relies on single-source exports and simple counts, which obscure author disambiguation and affiliation errors. Survey studies frequently omit validated measurement models and invariance testing across institutions. Writing interventions are usually evaluated without rigorous quasi-experimental designs and often lack longitudinal follow-up, limiting causal claims. Journal-recommender algorithms emphasize semantic matching but rarely validate against local acceptance outcomes or report fairness across subfields. Overall limitations are: weak author disambiguation and reproducibility, underpowered psychometric validation, lack of pre-registered analysis plans, and scarce causal evaluation of interventions in local, low-resource academic settings.</w:t>
      </w:r>
    </w:p>
    <w:p>
      <w:r>
        <w:t xml:space="preserve"> </w:t>
      </w:r>
    </w:p>
    <w:p>
      <w:pPr>
        <w:pStyle w:val="Heading2"/>
      </w:pPr>
      <w:r>
        <w:t>Abstract</w:t>
      </w:r>
    </w:p>
    <w:p>
      <w:r>
        <w:t>This study assesses productivity and barriers for English-as-a-Foreign-Language (EFL) academics in private universities in East Java and tests whether structured manuscript-cohort clinics improve acceptance rates in Scopus- and Web of Science-indexed journals. We use a sequential explanatory mixed-methods design: (1) bibliometric harvesting from Scopus (supplemented by Web of Science and institutional SINTA records) to map outputs and co-authorship networks; (2) a validated survey instrument (pilot n≈60, full n≈300–400) measuring publication barriers and institutional supports; (3) in-depth interviews and focus groups for contextualization; and (4) a stepped-wedge rollout of manuscript-cohort clinics evaluated with multilevel models. Main contributions are a reproducible bibliometric pipeline with disambiguation, a validated barriers scale with measurement-invariance testing, and causal estimates of intervention effects on desk-rejection, acceptance, and time-to-decision. Expected outcomes are empirically grounded, transferable recommendations and open reproducible code and priors for Bayesian ordinal models to support policy and capacity building for EFL academics.</w:t>
      </w:r>
    </w:p>
    <w:p>
      <w:r>
        <w:t xml:space="preserve"> </w:t>
      </w:r>
    </w:p>
    <w:p>
      <w:pPr>
        <w:pStyle w:val="Heading2"/>
      </w:pPr>
      <w:r>
        <w:t>Experiments</w:t>
      </w:r>
    </w:p>
    <w:p>
      <w:r>
        <w:t>Datasets: (a) Scopus metadata export for publications by faculty at selected private East Java universities 2018–2025 (author IDs, affiliations, titles, abstracts, venues); (b) Web of Science exports for cross-validation; (c) institutional SINTA extracts; (d) survey data pilot n≈60 (3 sites) and full n≈300–400 respondents; (e) manuscript audit sample target 120–180 manuscripts (nested within 8–12 institutions); (f) qualitative interview and FGD transcripts (48–96 interviews, 8–16 FGDs). Baselines: historical pre-intervention KPIs per institution (desk-rejection rate, acceptance rate, time-to-decision), no-intervention delayed clusters in stepped-wedge, and alternative short-format workshop arm. Evaluation metrics: primary—manuscript acceptance probability (binary), desk-rejection rate, time-to-first-decision and submission-to-publication lag (days), proportion of international co-authorship; secondary—Cronbach's alpha and omega, CFA fit indices (CFI, RMSEA, SRMR), measurement invariance ΔCFI, ICC for clustering. Models and setup: Monte Carlo power simulations with cells: total N∈{200,300,400}, clusters∈{8,10,12}, ICC∈{0.01,0.03,0.05,0.10}, missingness∈{0,10,20,30} percent; replications=1000 per cell. Intervention analysis: multilevel logistic regression for acceptance with manuscripts nested in institutions, fixed calendar-time effects, random intercepts for institutions; multilevel survival (Cox or parametric) for time-to-decision; one-stage latent-variable SEM to propagate measurement error. Bayesian specifications (for ordinal CFA / hierarchical models): residual SDs ~ half-t(3,0,2.5), hierarchical SDs ~ half-t(3,0,1.5), factor loadings ~ Normal(0,1) on standardized scales, regression effects ~ Normal(0,1) standardized, intercepts ~ Normal(0,10), correlation priors LKJ(eta=2); prior sensitivity grid: default, tighter (scale *0.5), wider (scale *2); prior predictive checks &gt;=500 sims. Comparisons/ablations: (1) stepped-wedge vs no-intervention; (2) cohort clinics vs short workshop; (3) journal-fit algorithm recommendation used vs expert-only targeting; (4) estimator ablation: WLSMV ordinal CFA vs Bayesian ordinal CFA; (5) APC support on vs off. Reporting: pre-register analysis plan, publish code (R/Python/Stan/brms) and simulated minimal datasets to reproduce key tests. Decision rule: report odds ratios with 95% CI and Bayesian posterior probability thresholds (posterior prob&gt;0.95 for directional claims).</w:t>
      </w:r>
    </w:p>
    <w:p>
      <w:r>
        <w:t xml:space="preserve"> </w:t>
      </w:r>
    </w:p>
    <w:p>
      <w:pPr>
        <w:pStyle w:val="Heading2"/>
      </w:pPr>
      <w:r>
        <w:t>Risk Factors And Limitations</w:t>
      </w:r>
    </w:p>
    <w:p>
      <w:r>
        <w:t>Low participation or low manuscript yield per institution may reduce power and bias stepped-wedge comparisons; author and affiliation disambiguation errors in bibliometric sources can misattribute outputs; survey self-report bias and social desirability may distort barrier estimates; measurement noninvariance across languages or institutions may invalidate pooled scale scores; contamination between clusters (sharing of intervention materials) can dilute estimated effects; time trends or external events may confound stepped-wedge estimates; Bayesian models with small per-group Ns (&lt;50) may be sensitive to prior choices and produce wide posteriors; computational demands for hierarchical Bayesian SEM and simulations may be high on limited hardware; findings may not generalize beyond private universities in East Java or to non-EFL contexts; ethical and data-governance constraints (MOUs, retention rules) may restrict public release of identifiable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