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thailand_elder_care_gender_norms</w:t>
      </w:r>
    </w:p>
    <w:p>
      <w:r>
        <w:t xml:space="preserve"> </w:t>
      </w:r>
    </w:p>
    <w:p>
      <w:pPr>
        <w:pStyle w:val="Heading2"/>
      </w:pPr>
      <w:r>
        <w:t>Title</w:t>
      </w:r>
    </w:p>
    <w:p>
      <w:r>
        <w:t>Experimental and quasi-experimental assessment of how social gender norms about altruistic behavior affect unpaid eldercare provision in Thailand</w:t>
      </w:r>
    </w:p>
    <w:p>
      <w:r>
        <w:t xml:space="preserve"> </w:t>
      </w:r>
    </w:p>
    <w:p>
      <w:pPr>
        <w:pStyle w:val="Heading2"/>
      </w:pPr>
      <w:r>
        <w:t>Short Hypothesis</w:t>
      </w:r>
    </w:p>
    <w:p>
      <w:r>
        <w:t>Reducing the perceived norm that caregiving is primarily a woman's duty (via information and norm-priming interventions) increases the share of unpaid eldercare hours provided by men in affected households relative to control households.</w:t>
      </w:r>
    </w:p>
    <w:p>
      <w:r>
        <w:t xml:space="preserve"> </w:t>
      </w:r>
    </w:p>
    <w:p>
      <w:pPr>
        <w:pStyle w:val="Heading2"/>
      </w:pPr>
      <w:r>
        <w:t>Related Work</w:t>
      </w:r>
    </w:p>
    <w:p>
      <w:r>
        <w:t>Existing work documents that Thai women provide most unpaid eldercare and links this to social gender norms and religious expectations. Prior studies mainly use observational surveys, time-use reports, or qualitative interviews and find associations between gendered norms and reduced female leisure and paid work. Limitations of current approaches include confounding (observed associations may reflect unmeasured factors), weak causal identification, limited use of validated norm measures, social-desirability bias in self-reporting, underrepresentation of male and non-kin caregivers, and scarce integration of ethnography with experimental or instrumental strategies. Few studies pre-register falsification tests or measurement‑invariance checks, and most lack scalable experimental designs to test norm malleability or policy-relevant economic modeling.</w:t>
      </w:r>
    </w:p>
    <w:p>
      <w:r>
        <w:t xml:space="preserve"> </w:t>
      </w:r>
    </w:p>
    <w:p>
      <w:pPr>
        <w:pStyle w:val="Heading2"/>
      </w:pPr>
      <w:r>
        <w:t>Abstract</w:t>
      </w:r>
    </w:p>
    <w:p>
      <w:r>
        <w:t>This study tests whether social gender norms about altruistic caregiving causally shape unpaid eldercare in Thailand. We combine randomized norm-priming interventions (individual and community levels), quasi-experimental instrumental variables (historical temple density, cohort female schooling gains, and phased welfare rollouts), and in-depth ethnography to measure norm strength and pathways. The main contribution is a mixed-methods causal design that links validated norm measures to behavioral outcomes (care hours, shared-care) and caregiver wellbeing (mental-health and burden scales). We pre-specify measurement-invariance thresholds and power targets, and we integrate economic simulations of opportunity costs. Expected outcomes include credible causal estimates of norm effects on gendered caregiving, validated measurement tools for norms in Thai contexts, and policy-relevant cost estimates to inform interventions that aim to rebalance caregiving responsibilities. (Technical term: instrumental variable means a third variable used to estimate cause-effect when direct randomization is not possible.)</w:t>
      </w:r>
    </w:p>
    <w:p>
      <w:r>
        <w:t xml:space="preserve"> </w:t>
      </w:r>
    </w:p>
    <w:p>
      <w:pPr>
        <w:pStyle w:val="Heading2"/>
      </w:pPr>
      <w:r>
        <w:t>Experiments</w:t>
      </w:r>
    </w:p>
    <w:p>
      <w:r>
        <w:t>Datasets: primary household survey n≈3,000 households with ≥1 person age 60+ (100 clusters × ~30 households), pilot n=200–300 across urban/peri-urban/rural sites, and administrative datasets for IVs (temple registries, Ministry of Education cohort enrollment, welfare rollout timelines). Baselines: control (no messaging), placebo information (non-norm-related elder health facts), and standard survey-only observational analysis with covariate adjustment and propensity-score matching. Randomized arms: (A) individual-level ACASI norm-priming (general equitable-care message); (B) individual-level norm-misperception correction (presenting accurate peer behavior); (C) identity-targeted messages (messages tailored to sons vs daughters); (D) cluster-level staggered media + workshop rollout (community campaign). Behavioral validation: incentivized dictator task in a random 30% subsample. IV analyses: use historical temple density, female schooling gains, and welfare rollout timing as instruments; for each IV pre-register exclusion restriction and placebo outcomes. Evaluation metrics: primary — weekly caregiver hours (continuous), share of household shared-care (continuous and binary thresholds), caregiver mental-health score (PHQ-9 or WHO-5 standardized); secondary — Zarit Burden score, labor market participation. Statistical estimands and methods: ITT (intent-to-treat — effect for all assigned), CACE (complier average causal effect), mediation (natural indirect effect) via multilevel structural equation models (SEM), difference-in-differences for staggered rollout, two-stage least squares for IVs. Model diagnostics and measurement: measurement invariance tests (CFI/TLI ≥0.95; RMSEA ≤0.06; SRMR ≤0.08), IRT (item-response theory) reliability, and fit indices reported. Power and design: pre-specified ICC ranges 0.01–0.10, detectable effects computed for main and subgroup analyses (male caregivers, non-kin), and cluster-robust SEs. Ablation studies: compare ACASI vs interviewer-assisted administration, norm-misperception correction vs generic norm-priming, and with vs without incentivized dictator task to assess behavioral convergence. Pre-registered falsification tests: IV-placebo outcomes (e.g., agricultural yield), balance tests on pre-treatment shocks, and randomization inference for spillovers.</w:t>
      </w:r>
    </w:p>
    <w:p>
      <w:r>
        <w:t xml:space="preserve"> </w:t>
      </w:r>
    </w:p>
    <w:p>
      <w:pPr>
        <w:pStyle w:val="Heading2"/>
      </w:pPr>
      <w:r>
        <w:t>Risk Factors And Limitations</w:t>
      </w:r>
    </w:p>
    <w:p>
      <w:r>
        <w:t>IV validity threats: instruments (e.g., temple density) may correlate with unobserved local factors (religiosity, public services), violating exclusion assumptions. Social-desirability bias: respondents may overstate gender equity even under ACASI; ACASI comprehension may fail for low-literacy respondents. Contamination and spillovers: community campaigns can affect neighboring clusters, reducing internal validity. Attrition and missing data: differential dropout (by caregiver burden or migration) can bias estimates; subgroup analyses (male, non-kin, migrants) may be underpowered despite oversampling. Measurement failures: scales may not achieve invariance across regions or languages, limiting comparability. Administrative data risks: delays or denial of data access for IV linkage. Ethical risks: norm-change messages could provoke family conflict or backlash in some households. Generalizability: findings from Thai cultural and religious contexts may not transfer to other countries. Resource constraints: oversampling, incentivized tasks, and extended ethnography raise budget and timeline challenges.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