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zain_ramadan_eid_emotion_ads</w:t>
      </w:r>
    </w:p>
    <w:p>
      <w:r>
        <w:t xml:space="preserve"> </w:t>
      </w:r>
    </w:p>
    <w:p>
      <w:pPr>
        <w:pStyle w:val="Heading2"/>
      </w:pPr>
      <w:r>
        <w:t>Title</w:t>
      </w:r>
    </w:p>
    <w:p>
      <w:r>
        <w:t>Experimental and multilevel analysis of emotional appeals in Zain Ramadan and Eid al‑Fitr television advertisements</w:t>
      </w:r>
    </w:p>
    <w:p>
      <w:r>
        <w:t xml:space="preserve"> </w:t>
      </w:r>
    </w:p>
    <w:p>
      <w:pPr>
        <w:pStyle w:val="Heading2"/>
      </w:pPr>
      <w:r>
        <w:t>Short Hypothesis</w:t>
      </w:r>
    </w:p>
    <w:p>
      <w:r>
        <w:t>Increasing the emotional intensity of Zain Ramadan and Eid al‑Fitr television advertisements causes higher brand attitude and greater purchase intention, and this effect is mediated by viewers' self‑reported emotional intensity.</w:t>
      </w:r>
    </w:p>
    <w:p>
      <w:r>
        <w:t xml:space="preserve"> </w:t>
      </w:r>
    </w:p>
    <w:p>
      <w:pPr>
        <w:pStyle w:val="Heading2"/>
      </w:pPr>
      <w:r>
        <w:t>Related Work</w:t>
      </w:r>
    </w:p>
    <w:p>
      <w:r>
        <w:t>Prior work includes content analysis of television advertising, studies of affective appeals in marketing, and media effects research on emotionally charged religious or ritual content. Existing approaches typically code emotional themes in ads and correlate them with audience self‑reports or sales proxies. Limitations in prior work are: reliance on observational associations that do not identify causal effects; small or single‑market corpora that limit cross‑market generalization; coarse emotion measures lacking psychometric validation across dialects; weak handling of the cross‑classified structure where participants view multiple ads; sparse use of formal mediation models linking emotion to brand outcomes; and few studies combining detailed multimodal coding with controlled experimental manipulations and preregistered multilevel inference. These gaps reduce confidence that observed links reflect causal influence of emotional appeals rather than confounds such as production quality, celebrity presence, or prior brand familiarity.</w:t>
      </w:r>
    </w:p>
    <w:p>
      <w:r>
        <w:t xml:space="preserve"> </w:t>
      </w:r>
    </w:p>
    <w:p>
      <w:pPr>
        <w:pStyle w:val="Heading2"/>
      </w:pPr>
      <w:r>
        <w:t>Abstract</w:t>
      </w:r>
    </w:p>
    <w:p>
      <w:r>
        <w:t>This study tests whether emotional intensity in Zain telecommunications' Ramadan and Eid al‑Fitr TV ads causally affects brand attitude and purchase intention. We combine a multimodal content archive of official Zain ads across four MENA markets with an experimental exposure study and multilevel structural equation modeling. For causal identification, we create edited ad variants that manipulate emotional intensity (soundtrack, pacing, close‑ups) and randomize exposure at the creative level; we also analyze natural variation across originals. Primary outcomes are ad recall, a 3‑item brand attitude scale, and a 3‑item purchase intention scale. The main contribution is an integrated pipeline: culturally grounded multimodal coding, cross‑classified multilevel models (participants crossed with ads), and preregistered mediation tests of emotion → brand attitude → purchase intention. Expected outcomes are quantification of the causal ATE of manipulated intensity, validation of self‑report emotion as a mediator, and cross‑market comparisons of thematic appeal effectiveness. Results will inform theory on emotional persuasion in ritualized advertising and provide reproducible methods for culturally sensitive ad evaluation.</w:t>
      </w:r>
    </w:p>
    <w:p>
      <w:r>
        <w:t xml:space="preserve"> </w:t>
      </w:r>
    </w:p>
    <w:p>
      <w:pPr>
        <w:pStyle w:val="Heading2"/>
      </w:pPr>
      <w:r>
        <w:t>Experiments</w:t>
      </w:r>
    </w:p>
    <w:p>
      <w:r>
        <w:t>Datasets: (1) Media corpus of official Zain Ramadan and Eid al‑Fitr TV/social cuts from last 5–7 years across Gulf, Levant, Iraq, North Africa; each asset annotated with creative ID, market, air date, production quality, celebrity presence, and ritual cues. Expected corpus size: 200–350 unique creative IDs. (2) Participant sample N=1000 (≈250 per market) recruited with quotas by age, gender, urban/rural, and religiosity tertiles. Stimuli selection: random sample of 60 creative IDs balanced across appeal type and intensity; for 30 IDs produce edited high‑intensity and low‑intensity variants (soundtrack, pacing, shot scale edits). Design: randomized exposure at creative ID level; each participant views 6–8 ads in a Latin‑square order with 2‑minute neutral buffers. Baselines: original unedited ads and neutral informational ads. Measures: ad recall (recognition + free recall), brand attitude (3 items, 1–7), purchase intention (3 items, 1–7), discrete emotions (joy, nostalgia, gratitude, empathy, moral elevation, sadness, amusement; 1–7), perceived cultural congruence (3 items), religiosity (3 items). Optional physiology sub‑sample N≈150 with Polar H10 (HR) and Empatica E4 (EDA). Evaluation metrics: primary — change in brand attitude and purchase intention (standardized mean differences, regression βs); mediation — indirect effect estimates (ab) with 95% CI from multilevel SEM; recall — recognition accuracy and free recall coding. Analysis: cross‑classified multilevel linear models with random intercepts for participant and ad, random slopes for emotional intensity; multilevel SEM for mediation; adjust multiple testing with Bonferroni for three primaries and FDR for secondary tests. Ablations and comparisons: (A) manipulated intensity vs original natural variation; (B) models with vs without ad‑level covariates (production quality, celebrity, length); (C) exclude physiology vs include physiology; (D) measurement invariance ablation: pooled vs market‑specific factor models. Report ICCs, sensitivity to MNAR via δ‑adjusted pattern‑mixture models, and simulation‑based detectable effect tables archived with seeds.</w:t>
      </w:r>
    </w:p>
    <w:p>
      <w:r>
        <w:t xml:space="preserve"> </w:t>
      </w:r>
    </w:p>
    <w:p>
      <w:pPr>
        <w:pStyle w:val="Heading2"/>
      </w:pPr>
      <w:r>
        <w:t>Risk Factors And Limitations</w:t>
      </w:r>
    </w:p>
    <w:p>
      <w:r>
        <w:t>1) Causal identification: edited manipulations may change multiple cues at once, making precise mechanism attribution difficult. 2) Manipulation integrity: edits could reduce realism or introduce artifacts that bias responses. 3) Ad‑level confounds: residual imbalance on production quality, celebrity, or brand familiarity may confound effects. 4) Measurement noninvariance: emotion and attitude scales may not be strictly comparable across dialects/markets, limiting cross‑market inference. 5) Intercoder reliability: low agreement on culturally nuanced codes can reduce validity of content predictors. 6) Missing data and attrition: nonrandom dropout or item nonresponse can bias mediation estimates if MNAR mechanisms are strong. 7) Physiology data quality: sensor loss, motion artifacts, or sparse usable windows may limit physiological analyses. 8) Licensing and IP: restricted media sharing may limit reproducibility of stimuli. 9) Generalization: findings from Zain ads and Ramadan/Eid contexts may not generalize to other brands, religious events, or cultures. 10) Computational complexity: cross‑classified MSEM with many random effects may fail to converge or require large compute and specialized software.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