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rondo_i_wq57_temporality</w:t>
      </w:r>
    </w:p>
    <w:p>
      <w:r>
        <w:t xml:space="preserve"> </w:t>
      </w:r>
    </w:p>
    <w:p>
      <w:pPr>
        <w:pStyle w:val="Heading2"/>
      </w:pPr>
      <w:r>
        <w:t>Title</w:t>
      </w:r>
    </w:p>
    <w:p>
      <w:r>
        <w:t>Phenomenological score analysis and computational validation of temporality and form in C.P.E. Bach's Rondo I Wq. 57</w:t>
      </w:r>
    </w:p>
    <w:p>
      <w:r>
        <w:t xml:space="preserve"> </w:t>
      </w:r>
    </w:p>
    <w:p>
      <w:pPr>
        <w:pStyle w:val="Heading2"/>
      </w:pPr>
      <w:r>
        <w:t>Short Hypothesis</w:t>
      </w:r>
    </w:p>
    <w:p>
      <w:r>
        <w:t>In Rondo I Wq.57, higher motif recurrence density and stronger compositional pivoting cause increased perceived section-boundary salience and reduced tapping asynchrony during listening.</w:t>
      </w:r>
    </w:p>
    <w:p>
      <w:r>
        <w:t xml:space="preserve"> </w:t>
      </w:r>
    </w:p>
    <w:p>
      <w:pPr>
        <w:pStyle w:val="Heading2"/>
      </w:pPr>
      <w:r>
        <w:t>Related Work</w:t>
      </w:r>
    </w:p>
    <w:p>
      <w:r>
        <w:t>Existing approaches relevant to this project split into three groups. (1) Score-based motif detection algorithms use k-mer overlap, edit distance on pitch-interval and rhythm strings, and dynamic time warping (DTW) to find recurrent material; these methods often apply single metrics or ad-hoc thresholds. (2) Network and centrality analyses treat motifs as nodes and use PageRank or degree to locate driver motives; these identify prominence but depend on prior motif tokenization. (3) Empirical music-cognition studies relate expressive timing and cadence cues to boundary perception and entrainment using mixed-effects models. Limitations common across prior work: metric thresholds are chosen without systematic sensitivity tests; transformations (transposition, inversion, augmentation) and ornamentation are handled inconsistently; monophonic reduction rules and editorial provenance are rarely formalized; annotation protocols and expert calibration are underspecified; and integrated pipelines combining score analysis, recorded performance variants, and perceptual validation with reproducible code and data are scarce. These gaps limit reproducibility and generalization.</w:t>
      </w:r>
    </w:p>
    <w:p>
      <w:r>
        <w:t xml:space="preserve"> </w:t>
      </w:r>
    </w:p>
    <w:p>
      <w:pPr>
        <w:pStyle w:val="Heading2"/>
      </w:pPr>
      <w:r>
        <w:t>Abstract</w:t>
      </w:r>
    </w:p>
    <w:p>
      <w:r>
        <w:t>This project analyzes how temporality—patterns of recurrence, derivation, and expressive timing—shapes form in C.P.E. Bach's Rondo I Wq. 57. We combine a descriptive-analytical phenomenological reading of the notated text with a parameterized computational toolkit and a pre-registered perceptual experiment. The score analysis documents structural relationships in melody, tonality, ornamentation, and pivot points that organize returns and episodes. The computational toolkit operationalizes motif recurrence and derivation using multiple similarity measures, a composite decision rule, and motif-network centrality; monophonic-reduction provenance is encoded in MEI. A behavioral study tests whether analytic metrics correlate with listeners' boundary judgments and tapping entrainment across controlled performance variants. Main contributions are (a) a reproducible pipeline linking transparent editorial MEI encodings to motif-detection outputs, (b) empirically justified matching thresholds and sensitivity analyses, and (c) experimental validation connecting score-driven temporal organization to perception. Expected outcomes are standardized operational rules, validated thresholds, and empirical evidence tying compositional temporality to perceived form.</w:t>
      </w:r>
    </w:p>
    <w:p>
      <w:r>
        <w:t xml:space="preserve"> </w:t>
      </w:r>
    </w:p>
    <w:p>
      <w:pPr>
        <w:pStyle w:val="Heading2"/>
      </w:pPr>
      <w:r>
        <w:t>Experiments</w:t>
      </w:r>
    </w:p>
    <w:p>
      <w:r>
        <w:t>Datasets: (1) Primary: diplomatic and edited MEI encodings of Rondo I Wq.57 including xml:id measures, motives, pivots, and provenance. (2) Out-of-sample validation: one movement from comparable mid-18th-century solo keyboard repertory (same texture and rondo-like form) encoded in MEI. (3) Audio: 2–3 recorded performance variants per selected excerpt synchronized to MEI; MIDI realizations as backups. Baselines: (A) exact-match recurrence (note-for-note), (B) k-mer Jaccard-only matcher (k=3,4,5), (C) DTW-only matcher, (D) normalized edit-distance-only matcher, (E) human annotator majority vote. Proposed pipeline: composite matcher combining Jaccard, normalized edit distance (weighted pitch:rhythm 0.7:0.3), DTW with Sakoe-Chiba window = 10% sequence length, and PageRank motif-centrality. Evaluation metrics: precision, recall, F1 for recurrence and derivation detection; Cohen's kappa for inter-annotator agreement; ROC/PR curves for threshold sensitivity; motif-network stability (top-10 PageRank overlap) and runtime/resource usage. Computational experiments: (1) Threshold grid search and cross-validation on gold standard (≥3 expert annotators) over parameter ranges for Jaccard (0.1–0.6), edit distance (0.05–0.5), DTW (0.1–0.5), PageRank cutoffs (5–25%). Report chosen operating point and out-of-sample F1 on validation movement. (2) Ablations: composite rule vs each baseline; monophonic reduction ON vs OFF; allowed transforms ON vs restricted (no inversion/retrograde); k-mer sizes 3/4/5. Behavioral experiment: N=60 stratified (20 novices, 20 trained amateurs, 20 professionals). Stimuli: recorded variants aligned to MEI with tempo and ornament manipulations at A returns and episodes. Tasks: (a) explicit boundary detection (binary markers per time bin), (b) continuous salience rating, (c) tapping synchronization on beats. Preprocessing: exclude trials with &gt;20% missing taps; remove taps beyond ±3 SD per trial; smooth tempo curves with 2nd-order Butterworth low-pass at 0.5 Hz; time-normalize measures to proportional time bins. Statistical models: mixed-effects logistic regression for boundary detection (response ~ condition + musicalTraining + (1+condition|subject) + (1|stimulus)); linear mixed-effects for tapping asynchrony (asynchrony ~ condition + beatPos + musicalTraining + (1+condition|subject) + (1|stimulus)). Compare model fits and compute effect sizes. Reproducibility: all code in GitHub, Docker container, unit tests including MEI validation and motif-detection on gold set, Zenodo DOI for major release. Acceptance targets: recurrence F1 ≥0.80 and derivation F1 ≥0.75 on primary dataset and out-of-sample F1 within 5% of in-sample performance.</w:t>
      </w:r>
    </w:p>
    <w:p>
      <w:r>
        <w:t xml:space="preserve"> </w:t>
      </w:r>
    </w:p>
    <w:p>
      <w:pPr>
        <w:pStyle w:val="Heading2"/>
      </w:pPr>
      <w:r>
        <w:t>Risk Factors And Limitations</w:t>
      </w:r>
    </w:p>
    <w:p>
      <w:r>
        <w:t>1) Threshold overfitting: grid-tuned thresholds may fit Rondo I Wq.57 but not generalize; out-of-sample validation is limited to a small repertory sample. 2) Annotation bias: expert annotator pool small or non-representative; disagreement on ornament vs motif tokens can reduce gold-standard reliability. 3) Monophonic reduction ambiguity: algorithmic rules for melodic prominence (e.g., register percentile, rhythmic accent) may misassign voice priority in dense textures. 4) Ornament-induced false positives: collapsed or misclassified ornaments can inflate recurrence counts. 5) Model convergence: mixed-effects models with maximal random slopes may fail to converge given subject/stimulus counts. 6) Behavioral variability: participant heterogeneity and small subgroup sizes may reduce power for interaction effects. 7) Resource limits: DTW and large grid searches are compute-intensive and may require substantial CPU time. 8) Ethical and licensing constraints: full audio may be embargoed, limiting data sharing; consent procedures may constrain release of stimuli. 9) Scope: conclusions about temporality may not generalize beyond this repertory style or to multi-movement works.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