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interior_movement_distancing</w:t>
      </w:r>
    </w:p>
    <w:p>
      <w:r>
        <w:t xml:space="preserve"> </w:t>
      </w:r>
    </w:p>
    <w:p>
      <w:pPr>
        <w:pStyle w:val="Heading2"/>
      </w:pPr>
      <w:r>
        <w:t>Title</w:t>
      </w:r>
    </w:p>
    <w:p>
      <w:r>
        <w:t>Agent-based and CFD-coupled evaluation of interior-design interventions to direct occupant movement and reduce coronavirus transmission in open-plan offices</w:t>
      </w:r>
    </w:p>
    <w:p>
      <w:r>
        <w:t xml:space="preserve"> </w:t>
      </w:r>
    </w:p>
    <w:p>
      <w:pPr>
        <w:pStyle w:val="Heading2"/>
      </w:pPr>
      <w:r>
        <w:t>Short Hypothesis</w:t>
      </w:r>
    </w:p>
    <w:p>
      <w:r>
        <w:t>Implementing assigned lanes, semi-fixed dividers, or micro-pods in an open-plan office reduces risky proximity events (&lt;2 m for ≥5 minutes) by at least 50% compared to the baseline layout over a 4–8 week pilot.</w:t>
      </w:r>
    </w:p>
    <w:p>
      <w:r>
        <w:t xml:space="preserve"> </w:t>
      </w:r>
    </w:p>
    <w:p>
      <w:pPr>
        <w:pStyle w:val="Heading2"/>
      </w:pPr>
      <w:r>
        <w:t>Related Work</w:t>
      </w:r>
    </w:p>
    <w:p>
      <w:r>
        <w:t>Existing work falls into four broad approaches: (1) behavioral nudges and signage that shape walking routes, (2) physical barriers and reconfigured furniture to separate people, (3) ventilation and air-quality interventions that reduce aerosol concentration, and (4) computational studies using either agent-based models (ABMs) or computational fluid dynamics (CFD) to estimate contacts or airborne concentrations. Limitations: behavioral and barrier studies often report short-term compliance without robust sensor validation or long-term habituation data; ventilation work typically models concentration but does not couple to occupant trajectories; ABM studies frequently use simplified exposure kernels and do not propagate CFD-derived spatial concentrations; CFD-only studies are computationally costly and rarely validated against observed movement; many previous pilots lack power analyses, explicit uncertainty propagation, surrogate-model holdouts, accessibility/equity analyses, and privacy-preserving sensing protocols. No existing pipeline integrates calibrated sensor trajectories, validated CFD surrogates, ABM ensembles, and preregistered causal estimands with subgroup power planning.</w:t>
      </w:r>
    </w:p>
    <w:p>
      <w:r>
        <w:t xml:space="preserve"> </w:t>
      </w:r>
    </w:p>
    <w:p>
      <w:pPr>
        <w:pStyle w:val="Heading2"/>
      </w:pPr>
      <w:r>
        <w:t>Abstract</w:t>
      </w:r>
    </w:p>
    <w:p>
      <w:r>
        <w:t>Problem: Indoor movement patterns determine close contacts that enable coronavirus transmission; interior design can steer movement but quantitative evidence linking design changes to reduced transmission risk is limited. Approach: Combine anonymized trajectory sensing, CO2/flow measurements, calibrated agent-based models (ABMs), and CFD-derived concentration surrogates in an ensemble Monte Carlo framework to evaluate assigned lanes, semi-fixed dividers, and micro-pods in open-plan offices. Main contribution: A preregistered pipeline that (a) tests movement-guiding design interventions with a clear causal estimand, (b) propagates sensor and model uncertainty through ABM–CFD coupling, (c) validates reduced-order CFD surrogates with holdout protocols, and (d) publishes reproducible code, priors, and anonymized trajectory data. Expected outcome: Quantified reductions in risky proximity events and modeled infection probability with 95% uncertainty intervals, plus subgroup analyses for accessibility and habituation, enabling evidence-based interior-design guidance for healthier indoor spaces.</w:t>
      </w:r>
    </w:p>
    <w:p>
      <w:r>
        <w:t xml:space="preserve"> </w:t>
      </w:r>
    </w:p>
    <w:p>
      <w:pPr>
        <w:pStyle w:val="Heading2"/>
      </w:pPr>
      <w:r>
        <w:t>Experiments</w:t>
      </w:r>
    </w:p>
    <w:p>
      <w:r>
        <w:t>Datasets: (1) Pilot sensor dataset: anonymized overhead trajectories, BLE/Wi‑Fi ingress/egress logs, CO2 NDIR (±50 ppm) and diffuser flow measurements from a target open-plan office collected for 4–8 weeks per condition; (2) Calibrated ABM-generated trajectory ensembles; (3) Full-CFD runs for a representative subset and trained CFD surrogate (Gaussian process) for large sweeps; (4) Simulated infection ensembles sampling quanta, mask efficacy, and ACH. Baselines: (A) baseline layout (no intervention), (B) ventilation-only (improved ACH), (C) signage/nudges only, (D) full interior-design intervention (assigned lanes + semi-fixed dividers + micro-pods + reservation UI). Evaluation metrics: Primary: risky proximity event rate (counts per person-day of encounters &lt;2 m and ≥5 min). Secondary: cumulative person-minutes within 2 m per person-day, modeled infection probability per person-day (ensemble of Wells–Riley and single-hit models), accessibility incidents per person-day (events where movement impeded for mobility-limited users), and CO2-based ventilation proxies. Statistical model and causal estimand: primary estimand = absolute reduction in risky-event rate per person-day and rate ratio; inference via Bayesian hierarchical negative-binomial model for daily counts with log person-day offset, random intercepts for person and floor, AR(1) week-level autocorrelation, covariates (shift, role, mobility impairment), and multiplicity handled through joint posterior inference. Priors for power and inference: baseline rate priors as three Gamma distributions: low Gamma(shape=2, scale=0.75, mean=1.5), medium Gamma(2, scale=2, mean=4), high Gamma(2, scale=3.5, mean=7); ICC ~ Beta(2,18) (mean≈0.1); AR(1) rho ~ Beta(3,3) mapped to [0,1] (mean≈0.5); quanta emission prior = log-uniform over [0.1,100] quanta/hr. Sample-size and power: target 1,500–2,000 person-days per condition; run simulation-based power with 1,000+ ABM replicates per scenario over ICC grid {0.01,0.05,0.1,0.2} and AR(1) rho ∈ {0.2,0.4,0.6}. ABM–CFD coupling: generate 1,000 Monte Carlo ensembles per condition sampling measurement error models (CO2 noise ±50ppm, BLE error SD 1–3m, depth-camera pos error 0.1–0.5m) and emulator predictive uncertainty. Validation and ablations: (i) ablation A: full intervention vs intervention without behavioral nudges (same physical layout) to separate physical from behavioral effects; (ii) ablation B: surrogate vs full-CFD on holdout zones/days to measure emulator RMSE, CRPS, and empirical coverage; holdout acceptance if normalized RMSE≤0.3 and coverage within ±5% of nominal; otherwise run full CFD for failed scenarios. Decision thresholds: declare primary success if posterior mean reduction ≥50% and posterior probability(reduction≥50%)≥0.95; report 95% credible intervals. Missing data and selection-bias checks: pre-specified inverse-probability weighting and multiple-imputation models with sensitivity bounds reported.</w:t>
      </w:r>
    </w:p>
    <w:p>
      <w:r>
        <w:t xml:space="preserve"> </w:t>
      </w:r>
    </w:p>
    <w:p>
      <w:pPr>
        <w:pStyle w:val="Heading2"/>
      </w:pPr>
      <w:r>
        <w:t>Risk Factors And Limitations</w:t>
      </w:r>
    </w:p>
    <w:p>
      <w:r>
        <w:t>Sensor failures or occlusions causing trajectory loss or biased proximity counts (technical failure). Privacy or IRB constraints that force opt-in enrollment and reduce sample size, causing selection bias. Low incidence of actual infections, limiting ability to validate modeled infection probabilities against real cases. CFD surrogate mismatch in edge cases (surrogate error higher than acceptance thresholds) requiring expensive full-CFD runs (compute limitation). Measurement errors (CO2 drift, BLE localization noise) that widen uncertainty bands and reduce power. Behavioral habituation or Hawthorne effects that change compliance over time and complicate causal attribution. Limited generalization beyond the tested open-plan office geometry, HVAC configuration, or cultural work practices. Subgroup analyses (accessibility, job role) may be underpowered if subgroup sample sizes are small. Legal or contractual constraints restricting data sharing and reproducibility of raw sensor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