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hybrid_identity_saudi_mixed_families</w:t>
      </w:r>
    </w:p>
    <w:p>
      <w:r>
        <w:t xml:space="preserve"> </w:t>
      </w:r>
    </w:p>
    <w:p>
      <w:pPr>
        <w:pStyle w:val="Heading2"/>
      </w:pPr>
      <w:r>
        <w:t>Title</w:t>
      </w:r>
    </w:p>
    <w:p>
      <w:r>
        <w:t>Mixed-methods case study using latent profile analysis to investigate hybrid identity orientation among children of Saudi mixed families</w:t>
      </w:r>
    </w:p>
    <w:p>
      <w:r>
        <w:t xml:space="preserve"> </w:t>
      </w:r>
    </w:p>
    <w:p>
      <w:pPr>
        <w:pStyle w:val="Heading2"/>
      </w:pPr>
      <w:r>
        <w:t>Short Hypothesis</w:t>
      </w:r>
    </w:p>
    <w:p>
      <w:r>
        <w:t>Greater exposure to bicultural family practices increases the probability that children of Saudi mixed families will exhibit a hybrid identity orientation.</w:t>
      </w:r>
    </w:p>
    <w:p>
      <w:r>
        <w:t xml:space="preserve"> </w:t>
      </w:r>
    </w:p>
    <w:p>
      <w:pPr>
        <w:pStyle w:val="Heading2"/>
      </w:pPr>
      <w:r>
        <w:t>Related Work</w:t>
      </w:r>
    </w:p>
    <w:p>
      <w:r>
        <w:t>Prior work combines psychometrics of bicultural identity (e.g., Bicultural Identity Integration and acculturation measures) with qualitative studies of mixed families. Existing quantitative approaches use scale adaptation and latent-profile or clustering methods to identify identity types, but they often rely on nonrepresentative samples, lack thorough measurement invariance testing across language or generation groups, and ignore realistic intra-cluster correlation from family or community clustering. Qualitative studies provide rich context but are rarely integrated with preregistered latent-profile analysis or supplemented by simulation-based power estimates. Limitations include limited sample sizes for stable latent-class recovery, inconsistent handling of missing data and attrition biases (especially missing-not-at-random tied to identity-related covariates), insufficient cross-dialect cognitive interviewing, and weak reproducibility (no shared seeds, incomplete code, or missing simulation scenarios). These gaps leave uncertainty about minimum sample sizes, measurement equivalence, and how qualitative emic categories map to quantitative profiles.</w:t>
      </w:r>
    </w:p>
    <w:p>
      <w:r>
        <w:t xml:space="preserve"> </w:t>
      </w:r>
    </w:p>
    <w:p>
      <w:pPr>
        <w:pStyle w:val="Heading2"/>
      </w:pPr>
      <w:r>
        <w:t>Abstract</w:t>
      </w:r>
    </w:p>
    <w:p>
      <w:r>
        <w:t>This study examines how hybrid identity orientations emerge among children of Saudi mixed families and how family-level bicultural practices relate to those orientations. We use a mixed-methods case-study design combining remote semi-structured interviews, iterative cognitive interviewing, psychometric validation of adapted identity and acculturation scales, and latent profile analysis (LPA) on survey data. Key contributions are: (1) a validated, culturally grounded instrument for hybrid identity with documented configural/metric/scalar invariance across dialect and generation groups; (2) simulation-based sample-size guidance that accounts for clustering and realistic missing-data mechanisms; and (3) integrated qualitative-to-quantitative joint displays that link discourse typologies to LPA-derived identity profiles. Expected outcomes are reproducible code and preregistered analytic rules, a robust typology of hybrid identity orientations, and evidence on the relation between family bicultural practices and child identity orientation that can inform community-engaged interventions and future comparative research.</w:t>
      </w:r>
    </w:p>
    <w:p>
      <w:r>
        <w:t xml:space="preserve"> </w:t>
      </w:r>
    </w:p>
    <w:p>
      <w:pPr>
        <w:pStyle w:val="Heading2"/>
      </w:pPr>
      <w:r>
        <w:t>Experiments</w:t>
      </w:r>
    </w:p>
    <w:p>
      <w:r>
        <w:t>Datasets: 1) Qualitative: n_interviews = 40-60 in-depth remote semi-structured interviews across regions and dialects; n_cognitive = 20-30 iterative cognitive interviews stratified by age (12-17, 18+), gender, and dialect; field notes and consented discourse artifacts. 2) Survey: target raw N = 750 recruited across &gt;=25 clusters (neighborhoods/families) with post-quality-filter usable N = 525-600. Pilot survey N = 150 for item reduction and timing. Baselines: (A) adapted Bicultural Identity Integration (BII) and standard acculturation orientation scales (baseline scoring); (B) naive sum-score classification; (C) LPA without emic (qualitatively derived) items. Evaluation metrics: LPA class recovery: adjusted rand index (ARI), entropy (0-1), class proportion bias, coverage; psychometrics: confirmatory factor analysis (CFA) fit indices (CFI, TLI, RMSEA), factor loadings, ΔCFI for invariance steps; reliability: Cronbach's alpha and McDonald's omega ≥0.70; regression outcomes: standardized beta, R2, p-values; model selection: BIC/ABIC/AIC, BLRT p-value (Bootstrap Likelihood Ratio Test); missing-data diagnostics: fraction missing, patterns, Little's MCAR test, convergence diagnostics; sensitivity checks: inverse-probability weighting (IPW) and Bayesian hierarchical models (posterior intervals). Experimental setup and software: preregistered LPA using R 4.2+ packages tidyLPA and mclust; Mplus 8.6 as fallback for BLRT if needed; CFA and invariance with lavaan (R); multilevel models with lme4/glmmTMB; multiple imputation with mice; Bayesian checks with brms; all simulations seeded and version-controlled. Main experiments: 1) Psychometric pipeline: cognitive interviews -&gt; item revision -&gt; pilot N=150 -&gt; CFA and reliability -&gt; invariance tests (configural, metric, scalar) across subgroups (gender, generation, nationality mix). 2) LPA on full survey: run 3-5 class solutions, preregistered selection hierarchy BLRT -&gt; ΔBIC thresholds -&gt; entropy &gt;0.70 -&gt; min class n &gt;=50; report tie-break decisions. 3) Simulation study: vary total N {400,500,625,750,1000}, cluster ICC {0.01,0.03,0.05,0.10}, cluster size m {5,15,25}, class separation (Cohen's d {0.3,0.5,0.8}), indicator types {ordinal, continuous}, measurement error levels, and attrition mechanisms (MAR; two MNAR scenarios: attrition correlated with lower belonging score, and attrition correlated with minority nationality); record class recovery (ARI), bias, and minimum required N. 4) Comparative ablations: (i) LPA with vs without emic items; (ii) LPA with cluster-aware estimation vs naive LPA; (iii) sample-size ablation comparing usable N 500 vs 600 vs 750; report changes in class stability and downstream regression estimates. 5) Integration check: map qualitative typology codes to LPA classes and compute concordance (Cohen's kappa) and case exemplars. Deliverables: CSV scenario outputs, reproducible R/Mplus scripts with seeds, OSF repository with README, and a short memo of selected model and sample decisions.</w:t>
      </w:r>
    </w:p>
    <w:p>
      <w:r>
        <w:t xml:space="preserve"> </w:t>
      </w:r>
    </w:p>
    <w:p>
      <w:pPr>
        <w:pStyle w:val="Heading2"/>
      </w:pPr>
      <w:r>
        <w:t>Risk Factors And Limitations</w:t>
      </w:r>
    </w:p>
    <w:p>
      <w:r>
        <w:t>Sampling bias: nonprobability and snowball sampling may yield unrepresentative samples and limit generalizability. Clustering: high intra-cluster correlation (ICC) can reduce effective sample size and destabilize LPA class recovery. Small classes: smallest latent class under 50 cases yields unstable parameter estimates. Measurement: translation and dialect variation can cause non-equivalence despite cognitive interviews; full scalar invariance may not hold. Missing data: MNAR attrition tied to identity or stigma can bias profiles and regression coefficients. Social desirability and response bias: participants may underreport identity conflict or out-group attitudes. Regulatory and operational delays: MOE or data-protection approvals may delay fieldwork or force remote-only data collection, affecting cluster diversity. Data residency limits: in-country storage requirements may restrict international data sharing and secondary analyses. Safety and reporting: mandatory-reporting obligations can pose ethical and legal constraints on disclosures, affecting participation. Computational limits: large simulation grids and Bayesian models increase compute time and require reproducible seeds; failures in BLRT availability may force fallback criteria. External validity: findings may not generalize beyond Saudi mixed families or to other cultural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