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marital_compatibility_tripoli</w:t>
      </w:r>
    </w:p>
    <w:p>
      <w:r>
        <w:t xml:space="preserve"> </w:t>
      </w:r>
    </w:p>
    <w:p>
      <w:pPr>
        <w:pStyle w:val="Heading2"/>
      </w:pPr>
      <w:r>
        <w:t>Title</w:t>
      </w:r>
    </w:p>
    <w:p>
      <w:r>
        <w:t>Survey-based psychometric and structural equation analysis of marital compatibility and its association with marital variables among married Libyan women in Tripoli</w:t>
      </w:r>
    </w:p>
    <w:p>
      <w:r>
        <w:t xml:space="preserve"> </w:t>
      </w:r>
    </w:p>
    <w:p>
      <w:pPr>
        <w:pStyle w:val="Heading2"/>
      </w:pPr>
      <w:r>
        <w:t>Short Hypothesis</w:t>
      </w:r>
    </w:p>
    <w:p>
      <w:r>
        <w:t>Improved spousal communication quality causally increases latent marital compatibility scores among married Libyan women, controlling for family type, type of marriage, spousal age difference, and marriage duration.</w:t>
      </w:r>
    </w:p>
    <w:p>
      <w:r>
        <w:t xml:space="preserve"> </w:t>
      </w:r>
    </w:p>
    <w:p>
      <w:pPr>
        <w:pStyle w:val="Heading2"/>
      </w:pPr>
      <w:r>
        <w:t>Related Work</w:t>
      </w:r>
    </w:p>
    <w:p>
      <w:r>
        <w:t>Existing research on marital adjustment uses scale development, item-response methods, and structural models to link communication, fairness, and external stressors to marital outcomes. Most work relies on instruments developed in Western contexts and on single-wave cross-sectional surveys. Prior methods compare classical test theory (sum-scores, Cronbach alpha) with modern psychometric approaches (confirmatory factor analysis, item response theory) and sometimes test differential item functioning across groups. Limitations include limited cultural adaptation for North African contexts, inconsistent handling of measurement invariance across subgroups, sparse use of IRT-based DIF testing, underpowered mediation tests for small indirect effects, little routine incorporation of cluster/ICC design effects, and weak field feasibility evidence for privacy-preserving modes (e.g., ACASI) in low-resource urban settings. Dyadic sampling and panel follow-ups are uncommon, producing threats to causal inference and selection bias when partner data are attempted.</w:t>
      </w:r>
    </w:p>
    <w:p>
      <w:r>
        <w:t xml:space="preserve"> </w:t>
      </w:r>
    </w:p>
    <w:p>
      <w:pPr>
        <w:pStyle w:val="Heading2"/>
      </w:pPr>
      <w:r>
        <w:t>Abstract</w:t>
      </w:r>
    </w:p>
    <w:p>
      <w:r>
        <w:t>This study maps dimensions of marital compatibility among married Libyan women in Tripoli and tests whether compatibility varies by family type, marriage type, spousal age gap, marriage length, and spouse-selection criteria. We will develop and culturally adapt a multi-domain marital compatibility instrument (communication, role negotiation, intimacy, extended-family interference, religious concordance, economic stress), validate it with item response theory (IRT) and confirmatory factor analysis (CFA), and test structural associations and mediation (e.g., communication → compatibility, mediated by perceived fairness) using structural equation modeling (SEM). Main contributions are a culturally grounded, psychometrically validated latent marital compatibility scale for Tripoli, transparent DIF/invariance analysis across subgroups, and reproducible power/simulation outputs that incorporate clustering and attrition. Expected outcomes include defensible measurement tools, pre-registered analytic rules for DIF and missing data, and empirically supported sample targets for future studies, producing evidence to inform culturally appropriate interventions and services for married women in Libya. (IRT = method for modeling how item responses relate to underlying traits; SEM = model for testing relationships among latent variables.)</w:t>
      </w:r>
    </w:p>
    <w:p>
      <w:r>
        <w:t xml:space="preserve"> </w:t>
      </w:r>
    </w:p>
    <w:p>
      <w:pPr>
        <w:pStyle w:val="Heading2"/>
      </w:pPr>
      <w:r>
        <w:t>Experiments</w:t>
      </w:r>
    </w:p>
    <w:p>
      <w:r>
        <w:t>Datasets: 1) Pilot cognitive interviews (n=30-45, three rounds) in Tripoli dialect; 2) Pilot survey (n≈60); 3) Main survey of married women in Andalus neighborhood with target enrollment scenarios: medium indirect effect target N_enroll ≈ 530 (analytic N≈450 after 15% attrition) and small indirect effect target N_enroll ≈ 1,060 (analytic N≈900). Cluster design: district clusters with cluster sizes m in {10,15,25}, ICC grid {0.01,0.03,0.05,0.10}. Baselines: (A) standard marital-adjustment sum-score baseline (classical test theory), (B) existing validated marital-adjustment scale translated/adapted, (C) latent-factor score from CFA/IRT (proposed). Evaluation metrics: CFA fit indices (CFI, TLI, RMSEA, SRMR), reliability (omega), AVE (average variance extracted), IRT discrimination 'a' and item information (IRT = item response theory; discrimination measures item ability to distinguish trait levels), DIF metrics ΔR2 (logistic-regression), signed SMD (standardized mean diff), Δλ (change in factor loading), SEM path coefficients (standardized), indirect effects with bootstrap 5000 draws and 95% CI, design-effect adjusted effective sample size n_eff = n/DEFF. Experimental setup: 1) instrument drafting and three rounds cognitive testing; 2) pilot field test; 3) main survey with stratified multi-frame sampling, post-stratification raking weights; 4) IRT calibration: GRM (graded response model for ordered Likert items) and GPCM (generalized partial credit model for frequency items); 5) DIF testing: IRT-LR tests, logistic-regression uniform/non-uniform DIF, Mantel–Haenszel anchor checks, MIMIC for covariate-adjusted bias; 6) CFA and measurement invariance tests (configural, metric, scalar) across education, age bands, and districts; 7) SEM mediation tests with FIML (full-information maximum likelihood) and complex-survey robust SEs; 8) sensitivity/ablation studies: (a) omit extended-family interference module, (b) remove items flagged for DIF, (c) run SEM on sum-score vs latent-score inputs, (d) vary MNAR delta shifts {0.2,0.5} SD and DIF cutoffs ΔR2 {0.02,0.05}, Δλ {0.05,0.10,0.20}; 9) Monte Carlo reproducibility: publish simsem R scripts that output required N under ICC and attrition grids. Software: R packages (lavaan, mirt, simsem, mice) and optional Mplus for complex SEM. Reporting: pre-specified decision table with assumed effect sizes, SEM specification, estimator, cluster count, DEFF adjustments, and recommended enrollment per scenario.</w:t>
      </w:r>
    </w:p>
    <w:p>
      <w:r>
        <w:t xml:space="preserve"> </w:t>
      </w:r>
    </w:p>
    <w:p>
      <w:pPr>
        <w:pStyle w:val="Heading2"/>
      </w:pPr>
      <w:r>
        <w:t>Risk Factors And Limitations</w:t>
      </w:r>
    </w:p>
    <w:p>
      <w:r>
        <w:t>Measurement bias: items adapted from other contexts may show DIF or poor fit, reducing validity. Social desirability and reporting bias: sensitive topics (DV, sexual satisfaction) may be underreported. Sample and selection bias: nonresponse, refusal for dyadic partner participation, and reliance on municipal registries may limit representativeness. Power limitations: small indirect effects require large N; clustering (ICC) increases required sample via DEFF. Causal inference limits: cross-sectional data cannot establish causality; panel follow-up may be infeasible. Field feasibility risks: ACASI (audio computer self-administered) may be limited by device availability, literacy, or electricity; sealed-paper alternatives may increase logistic load. Ethical/safety constraints: disclosures of harm create mandatory referral needs and may affect participation. Generalization: results limited to married women in the sampled Tripoli neighborhood and may not extend to rural or non-Libyan populations. Computational limits: IRT/SEM with large item sets and complex sampling can be slow and require expertise. These are risks to be documented and reported; no mitigations are specified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