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der_spiegel_gaza_semiotics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Barthesian semiotic analysis with mixed-effects modeling of Der Spiegel covers to quantify image-only versus paratext-anchored victim framing during the October 2023 Israeli–Gaza war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Images with close-up framing, direct gaze, and desaturated color palettes cause a higher probability that independent coders will assign an image-only victim-frame label than images without these features.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documents frequent "victim-frame" presentations in press photography and shows methodological gaps: many studies conflate image content and paratext (caption/headline) when labeling frames; computational studies of press imagery report classifier uncertainty and detector failure modes but often do not propagate that uncertainty into inference; reliability reporting is inconsistent (small gold standards, few reproducible thresholds); and ethical handling (GDPR, trauma-informed coder welfare, licensing) is often under-specified. Existing approaches either focus on close qualitative readings without statistical generalization or on automated classification without semiotic grounding. Limitations: image+paratext circularity in labels, lack of pre-registered threshold and uncertainty rules, small or non-stratified samples, and poor reproducibility of preprocessing and compositional thresholds.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project uses a Barthesian semiotic framework combined with quantitative modeling to evaluate how German press imagery encoded the October 2023 Israeli–Gaza war. We compare strictly image-only labeling (visual evidence only) against paratext-anchored labeling (visual evidence plus caption/headline) to remove circularity when testing paratext effects. Methods: a survey of six Der Spiegel covers for deep semiotic reading plus a stratified quantitative corpus of German outlet covers across pre/peak/post windows (target N ≈ 700–800). We operationalize compositional features (close-up, gaze-angle, color palette) with explicit, pre-registered thresholds and build a gold standard (n=180) for detector calibration. Analyses combine mixed-effects logistic regression (random intercepts for outlet and time window) with uncertainty propagation via multiple imputation (30 imputations) and a Bayesian latent-label model. Main contribution: a reproducible, pre-registered pipeline that separates image-only semiotic signals from paratext influence and quantifies detector uncertainty in inferential claims. Expected outcome: testable evidence on visual features driving victim-frame perception and a reproducible artifact set for ethical research.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Deep semiotic set: six Der Spiegel covers (issues dated 14/10/2023 to 20/04/2024) for close readings. (2) Quantitative corpus: stratified sample across six German outlets (Der Spiegel, Bild, FAZ, Die Zeit, Süddeutsche Zeitung, taz) × three windows (pre-Oct Aug–Sep, peak Oct, post-Nov–Dec) targeting N ≈ 750 (m ≈ 25 per outlet×window cell) with deduplication via perceptual hashing. Gold standard: 180 images stratified by outlet/window/resolution for coder training and detector evaluation. Baselines: (A) image-only coding (visual evidence only), (B) paratext-anchored coding (visual+caption/headline), (C) automated detectors with fixed naive threshold (0.5), (D) calibrated detector + uncertainty propagation pipeline. Preprocessing and compositional thresholds (pre-registered): head/face pixel ratio bins (close-up if face pixels &gt; 12% of image area), shot-scale bins (close: &gt;12%, medium: 4–12%, long: &lt;4%), gaze-angle direct if head orientation ≤15° from camera, desaturation index threshold (lab Luminance-chroma measure &lt; pre-registered value), resolution filter minimum 600 px on long side. Evaluation metrics: Krippendorff’s alpha for inter-coder reliability (target ≥0.80), detector metrics: precision, recall, F1, ROC AUC, PR-AUC, calibration Brier score. Inferential metrics: mixed-effects logistic regression coefficients (glmer, family=binomial) with random intercepts for outlet and time window; report odds ratios, 95% confidence intervals, cluster-robust SEs; Bayesian model: posterior means and 95% credible intervals. Uncertainty propagation: multiple imputation (30 imputations; technical note: imputation draws labels from Bernoulli(p_detector) where p_detector is calibrated probability) and a Bayesian latent-label model (latent true label L_i, logistic link: logit(P(L_i=1)) = X_i·β; priors: β ~ Normal(0,2), detector sensitivity/specificity ~ Beta(2,2)). Ablations / comparisons: (1) compare image-only vs paratext-anchored primary labels in GLMMs; (2) ablate uncertainty propagation (point-estimate labels vs imputed labels); (3) threshold rule comparison: maximize F1 vs enforce precision ≥0.80; (4) remove each compositional feature (gaze, shot-scale, palette) to test contribution. Setup details: two independent coders per gold image, blind to outlet for image coding (masthead/headline stripped), blind third adjudicator for conflicts, detector calibration on gold standard with per-stratum ROC/PR reporting, code and data processing in versioned repository (R/Python notebooks), mixed models in lme4/glmer and Bayesian models in Stan or PyMC. All threshold choices, number of imputations, and priors are pre-registered.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detector errors from occlusion, low resolution, black-and-white images, and mis-extracted OCR captions; these cause miscalibrated probabilities. Data and evaluation biases: stratified sample may still under-represent rarer motifs; editorial differences across outlets limit generalization beyond German press. Circularity risk: if paratext is used to define primary labels, tests of paratext effects become invalid. Scalability and compute: Bayesian latent-label models and many imputations increase compute (hundreds to thousands of CPU/GPU hours) and storage needs (1–2 TB). Reproducibility limits: exact OCR and perceptual-hash behavior may differ over time or by software version. Legal and ethical constraints: copyright and GDPR restrictions may prevent public release of high-resolution images and identifiable metadata, limiting external replication. Human factors: coder fatigue and secondary trauma may influence reliability and cause drift. Statistical limits: clustered design and nonzero ICC reduce effective sample size; small effect sizes may be underpowered if ICC is larger than assumed.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