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jordan_party_governance_kni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 causal analysis of how legislative quality and participation/accountability affect the effectiveness of Jordanian political parties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levels of participation and accountability within a Jordanian political party cause increased party effectiveness, measured as higher legislative quality scores and greater constituency-level project receipts.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two streams. One uses institutional and document-based measures of party governance (internal democracy, financial disclosure, legislative drafting standards) but often relies on single-source coding, lacks pre-registered codebooks, and reports limited reliability checks. The other uses social-network and patronage proxies (kinship ties, project allocation, vendor links) to capture informal power; these approaches provide structural insight but often use ad-hoc tie weights, limited calibration, weak entity-resolution, and few causal-identification strategies. Comparative legal analyses outline formal rules affecting party behavior but rarely integrate network-level informal power or constituency service outcomes. Limitations across methods include arbitrary weighting of ties, small or imbalanced cluster inference, weak adjudication for name-matching, lack of active-learning in entity resolution, and insufficient pre-specified primary estimands and multiplicity controls. No current method combines calibrated kinship indices, validated legislative-quality coding, robust causal designs (DiD/RD/synthetic control), and reproducible entity-resolution with active learning in a single pre-registered mixed-methods framework.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the causal effect of two principles of good governance—quality of legislation, and participation and accountability—on the effectiveness of Jordanian political parties. We combine descriptive-analytical, legal-comparative, network, and causal inference methods in a pre-registered mixed-methods design. We operationalize party effectiveness through two primary outcomes: a legislative-quality score (coded from bills and drafting procedures) and per-MP constituency project receipts in pre-election windows. We introduce a calibrated kinship-network index (KNI) to capture informal power and pre-register continuous sensitivity scans and Bayesian priors for KNI weights. Quantitative analysis uses multilevel models, DiD where exogenous reforms exist, regression discontinuity for narrow nominations, and network regressions (QAP/ERGM) with explicit diagnostics; qualitative work uses elite interviews and process tracing to validate mechanisms. Main contributions are (1) an empirically calibrated KNI with active-learning entity-resolution, (2) a validated legislative-quality codebook with reliability targets, and (3) a single pre-registered primary estimand and model with multiplicity correction. Expected outcome: robust, reproducible estimates of how governance principles influence party effectiveness in Jordan.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House of Representatives bios; Independent Election Commission candidate lists; party constitutions, membership registers, and internal rules; published bills and legislative drafts; parliamentary voting records; Jordan Open Data and ministry project lists (Ministry of Public Works &amp; Housing, Ministry of Municipal Affairs); Government Tenders Department procurement CSVs; donor project lists (World Bank, GIZ); local media project announcements; NGO reports; expert elicitation survey for KNI weights. Baselines: (B0) no KNI, simple covariates only; (B1) discrete KNI schemes (predefined weights A/B/C); (B2) continuous calibrated KNI from expert elicitation + pilot regressions; (B3) probabilistic entity-resolution weighted matches. Primary estimand and model: average change in outcome per one standard-deviation increase in standardized continuous KNI on constituency project receipts and on legislative-quality score using a two-level linear mixed model (level-1 MP/constituency, level-2 party or governorate) with clustered SEs; report coefficient, 95% CI, p-value, and intra-class correlation (ICC). Multiplicity correction: Benjamini-Hochberg false discovery rate on family of primary and key secondary tests. Entity resolution: active-learning loop with ensemble string similarity (TF-IDF cosine, Jaro-Winkler, Levenshtein), thresholds (auto-match &gt;=0.90, auto-nonmatch &lt;=0.65), human adjudication for 0.65-0.90; retrain classifier on adjudicated pairs iteratively; validation sample size 300-400 pairs; report precision, recall, F1, and confusion matrix. Reliability checks: Krippendorff's alpha for coding (target &gt;0.70) on legislative-quality pilot (n=50). Network analyses: Louvain community detection and modularity, Louvain vs Infomap comparison; QAP regression and ERGM with pre-registered diagnostics and degeneracy checks; report modularity, assortativity, betweenness and eigenvector centrality. Causal designs: DiD for dated reforms with parallel-trend tests and placebo leads; synthetic control for party-level shocks with RMSPE diagnostics; RD on internal nomination margins with Imbens-Kalyanaraman bandwidth and McCrary density test. Sensitivity and simulations: continuous sensitivity scans over KNI weights; measurement-error simulations varying tie misclassification 0-30% to quantify bias on primary estimand; SIMEX/Bayesian errors-in-variables runs. Ablation studies: (1) remove KNI; (2) replace continuous calibrated KNI with discrete schemes A/B/C; (3) use conservative entity-resolution (exclude ambiguous matches); (4) drop legislative-quality outcome. Evaluation metrics: effect size (coef per SD), RMSE for predictive fits, MDE from power simulations, precision/recall for entity-resolution, Krippendorff's alpha for coding, RMSPE for synthetic control, permutation p-values for QAP, and coverage of 95% CIs. Decision rules for small clusters: if level-2 groups &lt;30 use wild cluster bootstrap or Bayesian multilevel with informative priors and report alternative estimates.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Limited or biased access to party internal documents; nonresponse or selective reporting in interviews leading to sample bias; legal and ethical constraints on publishing kinship links; entity-resolution false matches or missed links causing bias in KNI; arbitrary residual dependence of results on KNI weighting if calibration is weak; small or imbalanced cluster counts limiting frequentist multilevel inference; network model degeneracy or unstable ERGM fits with sparse ties; measurement error in project-receipt values (missing or misreported amounts); coding subjectivity in legislative-quality scores despite reliability checks; simulations may not capture all real-world misclassification patterns; limited generalizability beyond Jordan to different institutional contexts; compute and staffing limits for 300-400 manual adjudications and Monte-Carlo simulations.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