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language_socialmedia_climate_awareness</w:t>
      </w:r>
    </w:p>
    <w:p>
      <w:r>
        <w:t xml:space="preserve"> </w:t>
      </w:r>
    </w:p>
    <w:p>
      <w:pPr>
        <w:pStyle w:val="Heading2"/>
      </w:pPr>
      <w:r>
        <w:t>Title</w:t>
      </w:r>
    </w:p>
    <w:p>
      <w:r>
        <w:t>Computational-linguistic and survey analysis of how linguistic choices on Indonesian social media affect climate awareness</w:t>
      </w:r>
    </w:p>
    <w:p>
      <w:r>
        <w:t xml:space="preserve"> </w:t>
      </w:r>
    </w:p>
    <w:p>
      <w:pPr>
        <w:pStyle w:val="Heading2"/>
      </w:pPr>
      <w:r>
        <w:t>Short Hypothesis</w:t>
      </w:r>
    </w:p>
    <w:p>
      <w:r>
        <w:t>Exposure to Indonesian social-media posts that use high-efficacy, agency-focused language causes greater short-term climate concern and higher likelihood of sharing informational resources within 72 hours than exposure to neutral informational language.</w:t>
      </w:r>
    </w:p>
    <w:p>
      <w:r>
        <w:t xml:space="preserve"> </w:t>
      </w:r>
    </w:p>
    <w:p>
      <w:pPr>
        <w:pStyle w:val="Heading2"/>
      </w:pPr>
      <w:r>
        <w:t>Related Work</w:t>
      </w:r>
    </w:p>
    <w:p>
      <w:r>
        <w:t>Prior work shows that language and framing on social media shape public attention and perceived risk for climate change, that generative AI can amplify or reshape climate conversations, and that social media exposure correlates with increased climate awareness among student and youth samples. Existing approaches are mainly correlational (they show links but not clear cause–effect), often focus on English content, and typically analyze text only or single platforms. Many studies use small annotation sets or unreported coder reliability, limiting reproducibility. Few works jointly study multimodal content (images, memes, emoji) and linked survey measures in the same population, and privacy-preserving linkage methods and platform-stratified power calculations are rarely reported. These gaps limit causal claims, multilingual generalization, and trustworthy operational deployment.</w:t>
      </w:r>
    </w:p>
    <w:p>
      <w:r>
        <w:t xml:space="preserve"> </w:t>
      </w:r>
    </w:p>
    <w:p>
      <w:pPr>
        <w:pStyle w:val="Heading2"/>
      </w:pPr>
      <w:r>
        <w:t>Abstract</w:t>
      </w:r>
    </w:p>
    <w:p>
      <w:r>
        <w:t>This study tests how linguistic choices on Indonesian social media influence climate awareness. We combine a stratified random survey of 120 Indonesian social-media users with an observational corpus of public Indonesian posts to link stated concern and sharing behavior to real-language exposure. We apply computational-linguistic labeling (frames, efficacy cues, calls-to-action) and multimodal analysis (text plus images/emoji) to measure message features. The main contribution is a reproducible, privacy-aware pipeline that quantifies whether high-efficacy, agency-focused language increases short-term worry and sharing compared with neutral informational language. We report coder reliability for annotations, classifier performance for automatic labeling, and mixed-effects statistical models for linked survey outcomes. Expected outcomes are clear, testable estimates of linguistic effects on climate concern and measurable behavior proxies, plus published annotation schemas and evaluation metrics to support replication and policy-relevant interpretation.</w:t>
      </w:r>
    </w:p>
    <w:p>
      <w:r>
        <w:t xml:space="preserve"> </w:t>
      </w:r>
    </w:p>
    <w:p>
      <w:pPr>
        <w:pStyle w:val="Heading2"/>
      </w:pPr>
      <w:r>
        <w:t>Experiments</w:t>
      </w:r>
    </w:p>
    <w:p>
      <w:r>
        <w:t>Datasets: 1) Survey-linked sample: stratified random sample of 120 Indonesian social-media users (balanced by age and region) who consent to link public posts; primary survey measures: single-item climate worry (0-10 scale, where 0 = not worried, 10 = extremely worried) and a 5-item perceived likelihood scale (1-5) aggregated to a mean score. 2) Observational corpus: 10,000 public Indonesian social-media posts from Twitter/X, Instagram, and TikTok over the past 6 months, stratified by platform and event windows. 3) Annotation pilot: 1,200 items double-coded across platforms and modalities. Baselines: neutral informational framing baseline (text with factual content only) and text-only baseline (no image or emoji). Labels: primary frame (multiclass), efficacy cue (binary: present/absent), call-to-action (binary), modality flags (image, emoji, video). Experimental setup: a small randomized exposure sub-experiment embedded in the survey (between-subjects, 3 arms: neutral, efficacy-frame, moral-frame; N≈40 per arm) with immediate post-exposure survey at 24–72 hours and follow-up at 2–4 weeks. Observational analysis: measure natural exposure dose per user via counts of posts labeled with each frame in the 7 days prior to survey (dose = unique posts seen; inferred exposure uses impressions when available). Evaluation metrics: primary outcome = change in climate worry score (mean difference and Cohen's d); statistical tests = linear mixed-effects models (LMM) with fixed effects for treatment/frame and covariates (age, gender, education, political ideology) and random intercepts for user and platform; report p-values and 95% confidence intervals. Classifier metrics for automatic labeling: micro-F1 and per-class F1, AUC for binary detectors, and Cohen's kappa for annotation reliability. Ablations: (A) multimodal ablation: compare text-only models vs text+image models; (B) cue ablation: remove CTA or efficacy cue from features and re-estimate effects; (C) power/robustness ablation: bootstrap observational estimates and compare results when excluding accounts flagged as bots. Pre-specified time windows: immediate = 24–72 hours post-exposure; persistence = 14–28 days. Pre-registration: lock primary outcome (single-item worry) and primary comparison (efficacy vs neutral) before analysis.</w:t>
      </w:r>
    </w:p>
    <w:p>
      <w:r>
        <w:t xml:space="preserve"> </w:t>
      </w:r>
    </w:p>
    <w:p>
      <w:pPr>
        <w:pStyle w:val="Heading2"/>
      </w:pPr>
      <w:r>
        <w:t>Risk Factors And Limitations</w:t>
      </w:r>
    </w:p>
    <w:p>
      <w:r>
        <w:t>Measurement validity: single-item scales may have limited reliability and may not capture all dimensions of risk perception. Exposure measurement: inferred exposure (impressions, view counts) is imperfect and can misclassify dose. Sample size: survey N=120 limits power to detect small effects and to run many subgroup analyses. Confounding and causality: observational linkage can suffer unmeasured confounders (prior interest, network position), limiting causal claims outside the randomized sub-experiment. Annotation and modality: multimodal labeling (images, memes, emoji) is subjective and may yield lower inter-coder agreement for some labels. Platform bias and bots: platform sampling differences and automated accounts can skew estimates. Privacy and re-identification: linking survey responses to public posts carries re-identification risk; differential privacy noise reduces utility for small subgroups. Generalization: results from Indonesian users and the sampled platforms may not generalize to other countries, age groups, or platforms. Compute and scalability: multimodal models and large corpus annotation require compute resources that may limit replication at larger scales.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