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socialwork_cyber_advisory</w:t>
      </w:r>
    </w:p>
    <w:p>
      <w:r>
        <w:t xml:space="preserve"> </w:t>
      </w:r>
    </w:p>
    <w:p>
      <w:pPr>
        <w:pStyle w:val="Heading2"/>
      </w:pPr>
      <w:r>
        <w:t>Title</w:t>
      </w:r>
    </w:p>
    <w:p>
      <w:r>
        <w:t>A mixed-methods evaluation of social workers' developmental, preventive, and intervention counseling roles in cybersecurity and information security contexts</w:t>
      </w:r>
    </w:p>
    <w:p>
      <w:r>
        <w:t xml:space="preserve"> </w:t>
      </w:r>
    </w:p>
    <w:p>
      <w:pPr>
        <w:pStyle w:val="Heading2"/>
      </w:pPr>
      <w:r>
        <w:t>Short Hypothesis</w:t>
      </w:r>
    </w:p>
    <w:p>
      <w:r>
        <w:t>Training social workers in a structured cybersecurity counseling protocol (including RA-T-SP screening, DTA-strengthening techniques, and usable security practices) causes higher rates of client safety disclosure and lower rates of security-related adverse events compared to standard social work practice.</w:t>
      </w:r>
    </w:p>
    <w:p>
      <w:r>
        <w:t xml:space="preserve"> </w:t>
      </w:r>
    </w:p>
    <w:p>
      <w:pPr>
        <w:pStyle w:val="Heading2"/>
      </w:pPr>
      <w:r>
        <w:t>Related Work</w:t>
      </w:r>
    </w:p>
    <w:p>
      <w:r>
        <w:t>Prior work has examined privacy, security, ethics, and digital practice in social work, including telehealth adoption, practitioner competence with technology, and the ethical challenges of AI and remote services. Human-computer interaction research has proposed trauma-informed design and consent flows, while privacy engineering literature recommends metadata minimization, end-to-end encryption, and differential privacy for research exports. Limitations across these areas include: few studies operationalize counseling roles specifically for cybersecurity contexts; absence of validated screening instruments that combine clinical safety and security signals (e.g., device compromise, doxxing); limited integration of usable cryptographic workflows with clinician documentation; insufficient quantitative DPIA calibration and simulated re-identification testing; and sparse co-design evidence from survivors of cybervictimization. Existing approaches therefore lack reproducible protocols, psychometrically-validated measures, and empirical tests of how security design choices affect clinical disclosure and outcomes.</w:t>
      </w:r>
    </w:p>
    <w:p>
      <w:r>
        <w:t xml:space="preserve"> </w:t>
      </w:r>
    </w:p>
    <w:p>
      <w:pPr>
        <w:pStyle w:val="Heading2"/>
      </w:pPr>
      <w:r>
        <w:t>Abstract</w:t>
      </w:r>
    </w:p>
    <w:p>
      <w:r>
        <w:t>We address how social workers can function as advisors in modern cybersecurity-relevant counseling by testing a mixed-methods package that combines (1) a structured screening instrument (RA-T-SP) for security-related safety signals, (2) a short Digital Therapeutic Alliance (DTA) measure, (3) trauma-informed consent with teach-back, and (4) usable security features such as client-side end-to-end encryption (E2EE) and metadata minimization. The study uses cognitive interviews, a feasibility pilot (N=80–100), and a cluster-randomized main study (N=300–500 clustered by clinician) to evaluate whether training and these safeguards increase safety disclosures and reduce security incidents. Main contributions are: validated RA-T-SP and DTA measures, an IRB-ready operational protocol linking clinical safety to cryptographic and logging designs, and empirical estimates of effect sizes and usability tradeoffs. Expected outcomes include reproducible psychometrics for the instruments, evidence on the causal effect of cybersecurity counseling on disclosures and adverse events, and practical guidance on key-management, DPIA thresholds, and clinician workflow impact.</w:t>
      </w:r>
    </w:p>
    <w:p>
      <w:r>
        <w:t xml:space="preserve"> </w:t>
      </w:r>
    </w:p>
    <w:p>
      <w:pPr>
        <w:pStyle w:val="Heading2"/>
      </w:pPr>
      <w:r>
        <w:t>Experiments</w:t>
      </w:r>
    </w:p>
    <w:p>
      <w:r>
        <w:t>Datasets: 1) Cognitive interviews n=12–20 purposively sampled (survivors of cybervictimization, varied digital literacy). 2) Pilot dataset: N=80–100 clients across 8–12 clinicians. 3) Main trial dataset: N=300–500 clients across 30–50 clinicians, clustered by clinician/site. Measures: RA-T-SP (10 candidate items; 0–3 frequency), DTA (5 items; 0–3), symptom scales (PHQ-9 for depression; GAD-7 for anxiety), SUS for usability, task completion rates, session time burden, and incident event logs (device compromise, doxxing, account breach, IPV events). Baselines: (A) standard social work practice without security-focused training; (B) training-only arm without technical E2EE/logging safeguards; (C) full intervention (training + E2EE + metadata minimization + teach-back consent). Evaluation metrics: disclosure rate (% sessions with security disclosure), security-adverse-event rate (events per 100 clients), psychometrics (Cronbach's alpha/omega &gt;=0.70, item-total &gt;=0.30, CFA fit indices RMSEA, CFI), mixed-effects treatment effect (Cohen's d for symptom change), correlation r between DTA and engagement, SUS mean, task completion %. Experimental setup: cluster-randomized design with clinicians randomized to arms A/B/C; analyze with mixed-effects models (random intercepts for clinician and site), pre-specified ICC range 0.05–0.10, adjust for baseline scores. Power/size: pilot for psychometrics; main N≈400 target to detect d≈0.30 with 80% power under ICC=0.05. Ablation studies: 1) full intervention vs training-only to quantify technical safeguard effect; 2) full intervention vs no teach-back to test consent comprehension effect. Secondary analyses: IRT graded-response modeling for RA-T-SP thresholds, mediation test (DTA mediates training → disclosure) with bootstrap CIs, sensitivity analyses for missing data (multiple imputation, pattern-mixture).</w:t>
      </w:r>
    </w:p>
    <w:p>
      <w:r>
        <w:t xml:space="preserve"> </w:t>
      </w:r>
    </w:p>
    <w:p>
      <w:pPr>
        <w:pStyle w:val="Heading2"/>
      </w:pPr>
      <w:r>
        <w:t>Risk Factors And Limitations</w:t>
      </w:r>
    </w:p>
    <w:p>
      <w:r>
        <w:t>Technical failure modes: key-management failures where hardware-backed keystores are unavailable; E2EE implementation errors that break session recording or research exports. Data/evaluation biases: underreporting of security incidents by clients, selection bias toward digitally literate participants, and survivor sampling bias. Privacy limits: difficulty calibrating differential-privacy noise without harming analytic utility; per-query vs cumulative privacy budget ambiguity. Scalability and compute: cryptographic and HSM infrastructures add cost and operational complexity for low-resource sites. Power and generalization limits: mediation and subgroup (IPV survivors, low-literacy) analyses may be underpowered; pilot sample sizes limit precision of DP calibration and re-identification simulations. Legal and jurisdictional constraints: cross-border data laws and court-order scenarios may force metadata disclosure, limiting confidentiality promises. Usability and clinical burden: increased session time for secure-note entry, teach-back, and key-recovery may reduce clinician adoption. Ethical limits: co-design and usability testing with survivors may induce distress and require careful safety procedures.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