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trade_agreements_sustainable_fisheries_mtl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causal effect of trade agreements and fisheries provisions on marine fisheries mean trophic level using difference-in-differences and propensity score matching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Signing a free trade agreement that includes fisheries-related provisions causes a statistically significant reduction in a country's mean trophic level of marine fisheries relative to comparable countries that do not sign such agreements.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links trade policy and fisheries outcomes through mechanisms such as demand shifts, price signals, and governance changes; studies have used mean trophic level (MTL) as an indicator of ecosystem-level change (commonly called 'fishing down the food web'). Empirical approaches in the literature include cross-section and panel regressions, instrumental variables (IV), difference-in-differences (DID) for policy change, and matching methods to reduce selection bias. Legal and supply-chain analyses document growing incorporation of environmental and fisheries provisions into trade treaties and the role of certification/traceability in market incentives. Limitations in existing work include weak control for endogeneity (treaties are nonrandom), sparse longitudinal coding of treaty provisions, inadequate cluster and rare-event power designs for bycatch outcomes, limited treatment of observer/electronic monitoring detection error, and insufficient representation of structural model uncertainty across alternative model families. Few studies integrate treaty text datasets with global MTL time series while applying pre-registered cluster-adjusted power and detection-error models.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signing free trade agreements with fisheries-related provisions changes the sustainability of national marine fisheries as measured by mean trophic level (MTL). We combine a global MTL time series (1950–2018) with a coded database of environmental and fisheries provisions in trade agreements (1947–2018). The core empirical strategy pairs propensity score matching (PSM) to create comparable treated and control countries with a difference-in-differences (DID) estimator to measure post-signing change (DID estimates the average treatment effect by comparing before-after changes between groups). We incorporate cluster-adjusted sample-size calculations, rare-event power formulas for low-prevalence bycatch, and explicit detection-error models for observer and electronic monitoring data. Main contributions are: (1) a transparent, pre-registered causal test linking treaty text to an ecological indicator, (2) canonical cluster-design tables and detection-error likelihoods, and (3) a suite of robustness checks including alternative model families and ensemble averaging to capture structural uncertainty. Expected outcome: quantified, reproducible estimates of treaty impacts on MTL with clear bounds on uncertainty and power.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Global mean trophic level (MTL) time series by country 1950–2018 (annual); (b) Coded trade-agreement provisions dataset 1947–2018 indicating fisheries-related clauses and signing dates; (c) Control covariates: GDP, fishing fleet capacity, fuel prices, trade volumes, RFMO rules, and certification uptake; (d) Observer and electronic monitoring (EM) records and AIS/VMS-based effort rasters for pilot cases. Baselines: (1) panel OLS with country and year fixed effects; (2) DID without matching; (3) PSM only (matched differences in means); (4) IV-DID using exogenous importer tariff shocks as instrument. Primary method: PSM (nearest-neighbor caliper) to select controls, followed by clustered DID with country-level standard errors and cluster-adjusted sample sizes. Clustering: present canonical cluster-design tables for tunas, shrimp, small pelagics with n, cluster size m, ICC ranges (0.01–0.2) and compute n_adj = n * [1 + (m-1)ICC]. Detection-error model: embed false-negative and false-positive rates for observer/EM in a hierarchical latent-class likelihood and re-run DID with measurement-error corrected outcomes. Rare-event power: compute Poisson/binomial cluster-adjusted minimum detectable effect (MDE) tables for bycatch prevalence 0.1%–5% and ICCs 0.01–0.2. Structural uncertainty: compare model families (linear DID, generalized additive models, Bayesian hierarchical DID) and produce stacked ensemble weights via cross-validated log scores. Evaluation metrics: estimated average treatment effect (ATE) on MTL with 95% confidence/credible intervals, pre-trend placebo tests (lead coefficients = 0), RMSE for hindcasts, coverage probability of 50/90% intervals, sensitivity of ATE to ICC and detection-error ranges, and MDE/power tables. Ablation studies: (A) DID+PSM versus DID-only; (B) measurement-error corrected outcome versus raw outcome; (C) single-model versus stacked ensemble. Pre-registration: all identification specs, IV choices, clustering assumptions, calipers, and holdout years registered before analysis.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completeness: treaty provision coding may be incomplete or inconsistent across years and countries, limiting identification. Measurement error: MTL is an indirect ecosystem indicator and may be biased by taxonomic aggregation, misreporting, and changes in sampling; detection error in observer/EM data (false negatives/positives) can distort bycatch and effort measures. Endogeneity: signing of trade agreements may correlate with unobserved, time-varying policy or economic shocks that also affect MTL, producing biased estimates if instruments are weak. Rare events: low-prevalence bycatch outcomes may have insufficient power even after clustering adjustments. Structural model risk: different model families may yield divergent inferences and ensemble methods increase compute cost. Computational cost and storage: propagating 500–1,000 posterior draws across coupled modules and running ensemble stacks require substantial compute and secure storage. Legal generalization: empirical effects in sampled countries/pilots may not generalize to all treaty designs or jurisdictions. Supply-chain confidentiality: missing or restricted trade and processing data may limit supply-chain analyses and leakage detection. No mitigation steps are included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