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 w:line="24" w:lineRule="auto"/>
      </w:pPr>
    </w:p>
    <w:p>
      <w:pPr>
        <w:spacing w:before="0" w:after="100"/>
      </w:pPr>
      <w:r>
        <w:rPr>
          <w:rFonts w:ascii="Calibri" w:hAnsi="Calibri"/>
          <w:b/>
          <w:color w:val="D938A7"/>
          <w:sz w:val="18"/>
        </w:rPr>
        <w:t>MULTI-CHANNEL FASHION MARKETING CASE STUDY</w:t>
      </w:r>
    </w:p>
    <w:p>
      <w:pPr>
        <w:spacing w:after="60"/>
      </w:pPr>
      <w:r>
        <w:rPr>
          <w:rFonts w:ascii="Calibri" w:hAnsi="Calibri"/>
          <w:b/>
          <w:color w:val="171526"/>
          <w:sz w:val="60"/>
        </w:rPr>
        <w:t>PLAYHAUS</w:t>
      </w:r>
    </w:p>
    <w:p>
      <w:pPr>
        <w:spacing w:after="320"/>
      </w:pPr>
      <w:r>
        <w:rPr>
          <w:rFonts w:ascii="Calibri" w:hAnsi="Calibri"/>
          <w:color w:val="6D6978"/>
          <w:sz w:val="28"/>
        </w:rPr>
        <w:t>Improving paid media efficiency while defining a focused SEO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D938A7"/>
                <w:sz w:val="15"/>
              </w:rPr>
              <w:t>INDUSTRY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1"/>
              </w:rPr>
              <w:t>Fashion / e-commerce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D938A7"/>
                <w:sz w:val="15"/>
              </w:rPr>
              <w:t>CHANNELS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1"/>
              </w:rPr>
              <w:t>SEO, Google Ads, TikTok Ads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D938A7"/>
                <w:sz w:val="15"/>
              </w:rPr>
              <w:t>ACTIVE PERIOD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1"/>
              </w:rPr>
              <w:t>August 2026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D938A7"/>
                <w:sz w:val="15"/>
              </w:rPr>
              <w:t>PROJECT STATUS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1"/>
              </w:rPr>
              <w:t>Paused 22 August at client instruction</w:t>
            </w:r>
          </w:p>
        </w:tc>
      </w:tr>
    </w:tbl>
    <w:p>
      <w:pPr>
        <w:spacing w:after="200" w:line="2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71526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14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TIKTOK CONVERSIONS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6D4AFF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$0.29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TIKTOK AVG. CPC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71526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3.42%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TIKTOK CTR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6D4AFF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$22.13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GOOGLE COST / CONVERSION</w:t>
            </w:r>
          </w:p>
        </w:tc>
      </w:tr>
    </w:tbl>
    <w:p>
      <w:pPr>
        <w:pStyle w:val="Heading1"/>
      </w:pPr>
      <w:r>
        <w:t>Executive Summary</w:t>
      </w:r>
    </w:p>
    <w:p>
      <w:pPr/>
      <w:r>
        <w:rPr>
          <w:rFonts w:ascii="Calibri" w:hAnsi="Calibri"/>
          <w:i w:val="0"/>
          <w:color w:val="262431"/>
          <w:sz w:val="22"/>
        </w:rPr>
        <w:t>PLAYHAUS needed a channel-specific approach aligned with its positioning as a fashion brand. The work combined SEO planning with Google Ads and TikTok Ads management, focusing on search efficiency, cost-effective traffic and measurable conversions.</w:t>
      </w:r>
    </w:p>
    <w:p>
      <w:pPr>
        <w:spacing w:after="0"/>
      </w:pPr>
    </w:p>
    <w:p>
      <w:pPr>
        <w:pStyle w:val="Heading2"/>
      </w:pPr>
      <w:r>
        <w:t>Results at a Glance</w:t>
      </w:r>
    </w:p>
    <w:p>
      <w:pPr>
        <w:numPr>
          <w:ilvl w:val="0"/>
          <w:numId w:val="10"/>
        </w:numPr>
        <w:spacing w:before="0" w:after="100" w:line="280" w:lineRule="auto"/>
      </w:pPr>
      <w:r>
        <w:rPr>
          <w:rFonts w:ascii="Calibri" w:hAnsi="Calibri"/>
          <w:color w:val="262431"/>
          <w:sz w:val="21"/>
        </w:rPr>
        <w:t>Google Ads conversions increased from 1 to 2, while implied cost per conversion improved from $45.99 to $22.13 - approximately 51.9% lower.</w:t>
      </w:r>
    </w:p>
    <w:p>
      <w:pPr>
        <w:numPr>
          <w:ilvl w:val="0"/>
          <w:numId w:val="10"/>
        </w:numPr>
        <w:spacing w:before="0" w:after="100" w:line="280" w:lineRule="auto"/>
      </w:pPr>
      <w:r>
        <w:rPr>
          <w:rFonts w:ascii="Calibri" w:hAnsi="Calibri"/>
          <w:color w:val="262431"/>
          <w:sz w:val="21"/>
        </w:rPr>
        <w:t>TikTok generated 14 conversions from $144.39 in broader-period spend, equal to an implied blended cost per conversion of approximately $10.31.</w:t>
      </w:r>
    </w:p>
    <w:p>
      <w:pPr>
        <w:numPr>
          <w:ilvl w:val="0"/>
          <w:numId w:val="10"/>
        </w:numPr>
        <w:spacing w:before="0" w:after="100" w:line="280" w:lineRule="auto"/>
      </w:pPr>
      <w:r>
        <w:rPr>
          <w:rFonts w:ascii="Calibri" w:hAnsi="Calibri"/>
          <w:color w:val="262431"/>
          <w:sz w:val="21"/>
        </w:rPr>
        <w:t>A phased SEO scope was prepared around keywords, metadata, technical fixes, schema, content and speed.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0FF" w:val="clear"/>
            <w:tcBorders>
              <w:top w:val="nil"/>
              <w:start w:val="single" w:sz="24" w:color="6D4AFF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6D4AFF"/>
                <w:sz w:val="17"/>
              </w:rPr>
              <w:t>MY CONTRIBUTION</w:t>
            </w:r>
          </w:p>
          <w:p>
            <w:pPr>
              <w:spacing w:after="0"/>
            </w:pPr>
            <w:r>
              <w:rPr>
                <w:rFonts w:ascii="Calibri" w:hAnsi="Calibri"/>
                <w:color w:val="262431"/>
                <w:sz w:val="21"/>
              </w:rPr>
              <w:t>SEO prioritization and implementation planning; Google Ads monitoring and optimization; TikTok creative and audience testing; budget and targeting adjustments; performance reporting and next-step recommendations.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color w:val="6D4AFF"/>
          <w:sz w:val="18"/>
        </w:rPr>
        <w:t>PAID SEARCH PERFORMANCE</w:t>
      </w:r>
    </w:p>
    <w:p>
      <w:pPr>
        <w:pStyle w:val="Heading1"/>
      </w:pPr>
      <w:r>
        <w:t>Google Ads: Higher Conversion Efficiency</w:t>
      </w:r>
    </w:p>
    <w:p>
      <w:pPr/>
      <w:r>
        <w:rPr>
          <w:rFonts w:ascii="Calibri" w:hAnsi="Calibri"/>
          <w:i w:val="0"/>
          <w:color w:val="262431"/>
          <w:sz w:val="22"/>
        </w:rPr>
        <w:t>The second available reporting window produced twice as many conversions on slightly lower spend. This lifted the reported conversion rate to 3.08% and reduced cost per conversion to $22.13.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0"/>
        <w:gridCol w:w="1710"/>
        <w:gridCol w:w="1710"/>
        <w:gridCol w:w="1710"/>
        <w:gridCol w:w="2220"/>
      </w:tblGrid>
      <w:tr>
        <w:trPr>
          <w:tblHeader w:val="true"/>
        </w:trP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171526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171526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1-9 Aug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171526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8-16 Aug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171526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171526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62431"/>
                <w:sz w:val="19"/>
              </w:rPr>
              <w:t>Impressions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3,386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2,363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-30.2%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Lower reach</w:t>
            </w:r>
          </w:p>
        </w:tc>
      </w:tr>
      <w:t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3F0FF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62431"/>
                <w:sz w:val="19"/>
              </w:rPr>
              <w:t>Clicks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3F0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70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3F0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65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3F0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-7.1%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3F0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Traffic remained close</w:t>
            </w:r>
          </w:p>
        </w:tc>
      </w:tr>
      <w:t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62431"/>
                <w:sz w:val="19"/>
              </w:rPr>
              <w:t>Spend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$45.99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$44.26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-3.8%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Slightly lower spend</w:t>
            </w:r>
          </w:p>
        </w:tc>
      </w:tr>
      <w:t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62431"/>
                <w:sz w:val="19"/>
              </w:rPr>
              <w:t>CTR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2.07%*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2.75%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+0.68 pp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Improved click efficiency</w:t>
            </w:r>
          </w:p>
        </w:tc>
      </w:tr>
      <w:t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62431"/>
                <w:sz w:val="19"/>
              </w:rPr>
              <w:t>Conversions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+100%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Conversion volume doubled</w:t>
            </w:r>
          </w:p>
        </w:tc>
      </w:tr>
      <w:t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62431"/>
                <w:sz w:val="19"/>
              </w:rPr>
              <w:t>Conversion rate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1.43%*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3.08%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+1.65 pp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Stronger traffic quality</w:t>
            </w:r>
          </w:p>
        </w:tc>
      </w:tr>
      <w:tr>
        <w:tc>
          <w:tcPr>
            <w:tcW w:type="dxa" w:w="20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62431"/>
                <w:sz w:val="19"/>
              </w:rPr>
              <w:t>Cost / conversion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$45.99*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$22.13</w:t>
            </w:r>
          </w:p>
        </w:tc>
        <w:tc>
          <w:tcPr>
            <w:tcW w:type="dxa" w:w="171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-51.9%</w:t>
            </w:r>
          </w:p>
        </w:tc>
        <w:tc>
          <w:tcPr>
            <w:tcW w:type="dxa" w:w="22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62431"/>
                <w:sz w:val="19"/>
              </w:rPr>
              <w:t>More efficient acquisition</w:t>
            </w:r>
          </w:p>
        </w:tc>
      </w:tr>
    </w:tbl>
    <w:p>
      <w:pPr>
        <w:spacing w:before="80" w:after="80"/>
        <w:jc w:val="center"/>
      </w:pPr>
      <w:r>
        <w:rPr>
          <w:rFonts w:ascii="Calibri" w:hAnsi="Calibri"/>
          <w:i/>
          <w:color w:val="6D6978"/>
          <w:sz w:val="17"/>
        </w:rPr>
        <w:t>*Calculated from supplied clicks, spend and conversion totals. Percentage-point change shown as pp.</w:t>
      </w:r>
    </w:p>
    <w:p>
      <w:pPr>
        <w:pStyle w:val="Heading2"/>
      </w:pPr>
      <w:r>
        <w:t>Optimization Focus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Reviewed search terms and identified negative keyword opportunities.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Monitored budget use, click trend and conversion cost.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Planned keyword, targeting and ad relevance refinements.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Reviewed conversion tracking, including the enhanced-conversions warning.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Prepared landing-page and ad-copy recommendations to improve qualified traffic.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1682496"/>
            <wp:docPr id="1" name="Picture 1" descr="Google Ads campaign performance for 8-16 August 2026 showing 65 clicks, $44.26 spend, 2,363 impressions, two pending conversions and $22.13 cost per conversion." title="PLAYHAUS Google Ads campaign perform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rcRect t="17500" b="900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68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/>
          <w:i/>
          <w:color w:val="6D6978"/>
          <w:sz w:val="17"/>
        </w:rPr>
        <w:t>Google Ads campaign view, 8-16 August 2026. Account-identifying header information has been excluded from the portfolio 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7E8" w:val="clear"/>
            <w:tcBorders>
              <w:top w:val="nil"/>
              <w:start w:val="single" w:sz="24" w:color="B87510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B87510"/>
                <w:sz w:val="17"/>
              </w:rPr>
              <w:t>REPORTING NOTE</w:t>
            </w:r>
          </w:p>
          <w:p>
            <w:pPr>
              <w:spacing w:after="0"/>
            </w:pPr>
            <w:r>
              <w:rPr>
                <w:rFonts w:ascii="Calibri" w:hAnsi="Calibri"/>
                <w:color w:val="262431"/>
                <w:sz w:val="21"/>
              </w:rPr>
              <w:t>The supplied Google Ads windows overlap on 8-9 August, so the comparison is directional. The two 8-16 August conversions were shown as pending when reported.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Calibri" w:hAnsi="Calibri"/>
          <w:b/>
          <w:color w:val="D938A7"/>
          <w:sz w:val="18"/>
        </w:rPr>
        <w:t>SOCIAL PERFORMANCE</w:t>
      </w:r>
    </w:p>
    <w:p>
      <w:pPr>
        <w:pStyle w:val="Heading1"/>
      </w:pPr>
      <w:r>
        <w:t>TikTok Ads: Cost-Efficient Attention and Conversions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71526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11,546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IMPRESSIONS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6D4AFF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395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CLICKS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71526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3.42%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CTR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6D4AFF" w:val="clear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4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EAE7FF"/>
                <w:sz w:val="15"/>
              </w:rPr>
              <w:t>LATEST-PERIOD CONVERSIONS</w:t>
            </w:r>
          </w:p>
        </w:tc>
      </w:tr>
    </w:tbl>
    <w:p>
      <w:pPr>
        <w:spacing w:after="160" w:line="24" w:lineRule="auto"/>
      </w:pPr>
    </w:p>
    <w:p>
      <w:pPr/>
      <w:r>
        <w:rPr>
          <w:rFonts w:ascii="Calibri" w:hAnsi="Calibri"/>
          <w:i w:val="0"/>
          <w:color w:val="262431"/>
          <w:sz w:val="22"/>
        </w:rPr>
        <w:t>TikTok creatives generated a 3.42% click-through rate and an average CPC of $0.29 in the supplied campaign view. The broader campaign period generated 14 conversions from $144.39 in spend.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3F0FF" w:val="clear"/>
            <w:tcBorders>
              <w:top w:val="nil"/>
              <w:start w:val="single" w:sz="24" w:color="6D4AFF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6D4AFF"/>
                <w:sz w:val="17"/>
              </w:rPr>
              <w:t>PERFORMANCE TAKEAWAY</w:t>
            </w:r>
          </w:p>
          <w:p>
            <w:pPr>
              <w:spacing w:after="0"/>
            </w:pPr>
            <w:r>
              <w:rPr>
                <w:rFonts w:ascii="Calibri" w:hAnsi="Calibri"/>
                <w:color w:val="262431"/>
                <w:sz w:val="21"/>
              </w:rPr>
              <w:t>TikTok was the stronger traffic-efficiency channel in the supplied data. The combination of a 3.42% CTR, $0.29 average CPC and measurable conversions indicates that the creative-led approach was attracting attention at a comparatively low click cost.</w:t>
            </w:r>
          </w:p>
        </w:tc>
      </w:tr>
    </w:tbl>
    <w:p>
      <w:pPr>
        <w:spacing w:after="0"/>
      </w:pPr>
    </w:p>
    <w:p>
      <w:pPr>
        <w:pStyle w:val="Heading2"/>
      </w:pPr>
      <w:r>
        <w:t>TikTok Optimization Work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Tested video creative concepts and monitored response by creative.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Tested and refined audiences based on campaign performance.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Adjusted budget and targeting to support stronger-performing combinations.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/>
          <w:color w:val="262431"/>
          <w:sz w:val="20"/>
        </w:rPr>
        <w:t>Tracked conversions and identified creatives and audiences worth prioritizing.</w:t>
      </w:r>
    </w:p>
    <w:p>
      <w:pPr>
        <w:spacing w:after="0"/>
      </w:pPr>
    </w:p>
    <w:p>
      <w:pPr>
        <w:spacing w:before="0" w:after="100"/>
      </w:pPr>
      <w:r>
        <w:rPr>
          <w:rFonts w:ascii="Calibri" w:hAnsi="Calibri"/>
          <w:b/>
          <w:color w:val="6D4AFF"/>
          <w:sz w:val="18"/>
        </w:rPr>
        <w:t>ORGANIC GROWTH FOUNDATION</w:t>
      </w:r>
    </w:p>
    <w:p>
      <w:pPr>
        <w:pStyle w:val="Heading2"/>
      </w:pPr>
      <w:r>
        <w:t>SEO: Focused Roadmap for a Fashion Brand</w:t>
      </w:r>
    </w:p>
    <w:p>
      <w:pPr/>
      <w:r>
        <w:rPr>
          <w:rFonts w:ascii="Calibri" w:hAnsi="Calibri"/>
          <w:i w:val="0"/>
          <w:color w:val="262431"/>
          <w:sz w:val="22"/>
        </w:rPr>
        <w:t>After reviewing the initial audit, the client prioritized SEO and technical improvements instead of broader UX/UI recommendations. The approved scope was translated into a phased work plan with estimated implementation hours.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Keyword research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Keyword mapping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Meta titles and descriptions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Technical SEO fixes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Schema implementation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7F7FA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Content planning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Website speed optimization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FFFFFF" w:val="clear"/>
            <w:tcBorders>
              <w:top w:val="single" w:sz="5" w:color="DED9EA"/>
              <w:start w:val="single" w:sz="5" w:color="DED9EA"/>
              <w:bottom w:val="single" w:sz="5" w:color="DED9EA"/>
              <w:end w:val="single" w:sz="5" w:color="DED9E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431"/>
                <w:sz w:val="20"/>
              </w:rPr>
              <w:t>Phased implementation plan</w:t>
            </w:r>
          </w:p>
        </w:tc>
      </w:tr>
    </w:tbl>
    <w:p>
      <w:pPr>
        <w:spacing w:after="100" w:line="2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8F4" w:val="clear"/>
            <w:tcBorders>
              <w:top w:val="nil"/>
              <w:start w:val="single" w:sz="24" w:color="168A63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68A63"/>
                <w:sz w:val="17"/>
              </w:rPr>
              <w:t>SCOPE ACCURACY</w:t>
            </w:r>
          </w:p>
          <w:p>
            <w:pPr>
              <w:spacing w:after="0"/>
            </w:pPr>
            <w:r>
              <w:rPr>
                <w:rFonts w:ascii="Calibri" w:hAnsi="Calibri"/>
                <w:color w:val="262431"/>
                <w:sz w:val="21"/>
              </w:rPr>
              <w:t>The SEO strategy, priorities and implementation plan were prepared and shared; no completed SEO implementation or ranking outcome is claimed. Overall, Google Ads improved conversion efficiency, TikTok delivered cost-efficient traffic and measurable conversions, and the SEO roadmap established the next practical phase. Work stopped on 22 August 2026 following instructions to pause.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2" w:val="left"/>
      </w:tabs>
      <w:jc w:val="right"/>
    </w:pPr>
    <w:r>
      <w:rPr>
        <w:rFonts w:ascii="Calibri" w:hAnsi="Calibri"/>
        <w:b/>
        <w:color w:val="6D6978"/>
        <w:sz w:val="16"/>
      </w:rPr>
      <w:t>PLAYHAUS CASE STUDY  •  AUGUST 2026</w:t>
    </w:r>
    <w:r>
      <w:tab/>
    </w:r>
    <w:r>
      <w:rPr>
        <w:rFonts w:ascii="Calibri" w:hAnsi="Calibri"/>
        <w:color w:val="6D6978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ED9EA"/>
      </w:pBdr>
    </w:pPr>
    <w:r>
      <w:rPr>
        <w:rFonts w:ascii="Calibri" w:hAnsi="Calibri"/>
        <w:b/>
        <w:color w:val="6D6978"/>
        <w:sz w:val="16"/>
      </w:rPr>
      <w:t>PALKIN SINGLA  |  MARKETING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624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PLAYHAUS Marketing Performance Case Study</dc:title>
  <dc:subject>SEO, Google Ads and TikTok Ads portfolio case study</dc:subject>
  <dc:creator>Palkin Singla</dc:creator>
  <cp:keywords>PLAYHAUS, Google Ads, TikTok Ads, SEO, marketing case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