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45A51" w:rsidRDefault="00045A51" w:rsidP="008568CF">
      <w:pPr>
        <w:pStyle w:val="Title"/>
        <w:spacing w:line="360" w:lineRule="auto"/>
      </w:pPr>
    </w:p>
    <w:p w:rsidR="00045A51" w:rsidRDefault="00045A51" w:rsidP="00045A51">
      <w:pPr>
        <w:rPr>
          <w:rFonts w:eastAsiaTheme="majorEastAsia" w:cstheme="majorBidi"/>
          <w:spacing w:val="-10"/>
          <w:kern w:val="28"/>
          <w:sz w:val="28"/>
          <w:szCs w:val="56"/>
        </w:rPr>
      </w:pPr>
      <w:r>
        <w:br w:type="page"/>
      </w:r>
    </w:p>
    <w:p w:rsidR="00E43160" w:rsidRDefault="008568CF" w:rsidP="00045A51">
      <w:pPr>
        <w:pStyle w:val="Title"/>
        <w:spacing w:line="360" w:lineRule="auto"/>
      </w:pPr>
      <w:r>
        <w:lastRenderedPageBreak/>
        <w:t>Tí</w:t>
      </w:r>
      <w:r w:rsidR="00936A96" w:rsidRPr="00936A96">
        <w:t>tulo</w:t>
      </w:r>
    </w:p>
    <w:p w:rsidR="006F5391" w:rsidRDefault="008568CF" w:rsidP="008568CF">
      <w:r>
        <w:tab/>
      </w:r>
      <w:r w:rsidR="006F5391">
        <w:t>Sistema de val</w:t>
      </w:r>
      <w:r w:rsidR="00EE1CF1">
        <w:t>uación</w:t>
      </w:r>
      <w:r w:rsidR="006F5391">
        <w:t xml:space="preserve"> de unidad de energía en redes </w:t>
      </w:r>
      <w:r w:rsidR="00EE1CF1">
        <w:t>M</w:t>
      </w:r>
      <w:r w:rsidR="006F5391">
        <w:t>icrogrid.</w:t>
      </w:r>
    </w:p>
    <w:p w:rsidR="00EE1CF1" w:rsidRPr="008568CF" w:rsidRDefault="00EE1CF1" w:rsidP="008568CF"/>
    <w:p w:rsidR="003203E3" w:rsidRDefault="003F4E6F" w:rsidP="003203E3">
      <w:pPr>
        <w:pStyle w:val="Title"/>
        <w:spacing w:line="360" w:lineRule="auto"/>
      </w:pPr>
      <w:r w:rsidRPr="00963110">
        <w:t>Introducción</w:t>
      </w:r>
    </w:p>
    <w:p w:rsidR="006F5391" w:rsidRDefault="00EE1CF1" w:rsidP="006F659D">
      <w:pPr>
        <w:ind w:firstLine="708"/>
        <w:jc w:val="both"/>
        <w:rPr>
          <w:rFonts w:cs="Times New Roman"/>
          <w:szCs w:val="24"/>
        </w:rPr>
      </w:pPr>
      <w:r>
        <w:t>Las redes de distribución eléctrica tradicionales contamos con un generador de energía, un distribuidor y un consumidor</w:t>
      </w:r>
      <w:r>
        <w:rPr>
          <w:rFonts w:cs="Times New Roman"/>
          <w:szCs w:val="24"/>
        </w:rPr>
        <w:t xml:space="preserve">, la tarifa de la unidad de energía consumida está elaborada por el distribuidor </w:t>
      </w:r>
      <w:r w:rsidR="002D485E">
        <w:rPr>
          <w:rFonts w:cs="Times New Roman"/>
          <w:szCs w:val="24"/>
        </w:rPr>
        <w:t>y en caso de un consumidor hogareño es fija. Con el avance de la tecnología y la reducción de los costos de la generación de energía sustentable, surge la posibilidad de que cada usuario pueda generar su propia energía y vender el excedente a la red. Debido a este nuevo paradigma he creado este sistema que genera una tarifa acorde a las circunstancias climatológicas y de demanda de la red por franjas horarias.</w:t>
      </w:r>
    </w:p>
    <w:p w:rsidR="00EE1CF1" w:rsidRDefault="00EE1CF1" w:rsidP="006F659D">
      <w:pPr>
        <w:ind w:firstLine="708"/>
        <w:jc w:val="both"/>
        <w:rPr>
          <w:rFonts w:cs="Times New Roman"/>
          <w:szCs w:val="24"/>
        </w:rPr>
      </w:pPr>
    </w:p>
    <w:p w:rsidR="00963110" w:rsidRDefault="003F4E6F" w:rsidP="00963110">
      <w:pPr>
        <w:pStyle w:val="Subtitle"/>
      </w:pPr>
      <w:r>
        <w:t xml:space="preserve">Antecedentes </w:t>
      </w:r>
    </w:p>
    <w:p w:rsidR="00CB7ABD" w:rsidRDefault="001C4E88" w:rsidP="001C4E88">
      <w:pPr>
        <w:jc w:val="both"/>
        <w:rPr>
          <w:rFonts w:cs="Times New Roman"/>
          <w:szCs w:val="24"/>
        </w:rPr>
      </w:pPr>
      <w:r>
        <w:rPr>
          <w:rFonts w:cs="Times New Roman"/>
          <w:szCs w:val="24"/>
        </w:rPr>
        <w:tab/>
        <w:t xml:space="preserve">Todo el CO2 generado por el uso de combustibles fósiles han generado lo que se conoce como efecto invernadero en nuestra atmosfera. De las generaciones tradicionales de energía eléctrica el uso de carbón mineral </w:t>
      </w:r>
      <w:r w:rsidR="00CB7ABD">
        <w:rPr>
          <w:rFonts w:cs="Times New Roman"/>
          <w:szCs w:val="24"/>
        </w:rPr>
        <w:t>es una de las causas más importantes de generación de CO2. La energía nuclear también se considera contaminante debido a que sus residuos permanecen con actividad radioactiva durante cientos de años posterior a la finalización de su uso. Las centrales hidroeléctricas generan desordenes ecológicos, por ejemplo, zonas bien irrigadas pasan a ser desérticas por la reducción de cursos de agua.</w:t>
      </w:r>
    </w:p>
    <w:p w:rsidR="003F4E6F" w:rsidRDefault="00E824D6" w:rsidP="00E824D6">
      <w:pPr>
        <w:ind w:left="1418"/>
        <w:jc w:val="both"/>
        <w:rPr>
          <w:rFonts w:cs="Times New Roman"/>
          <w:szCs w:val="24"/>
        </w:rPr>
      </w:pPr>
      <w:r>
        <w:rPr>
          <w:rFonts w:cs="Times New Roman"/>
          <w:szCs w:val="24"/>
        </w:rPr>
        <w:t>Energía renovable o energía limpia es aquella que su generación no debe producir gases de invernadero neto. Se producen mediante un recurso natural de la Tierra como por ejemplo luz solar, viento, recursos hídricos, calor de superficie o biomasa. (</w:t>
      </w:r>
      <w:r w:rsidR="00C63B61">
        <w:rPr>
          <w:rFonts w:cs="Times New Roman"/>
          <w:szCs w:val="24"/>
        </w:rPr>
        <w:t>CDE</w:t>
      </w:r>
      <w:r>
        <w:rPr>
          <w:rFonts w:cs="Times New Roman"/>
          <w:szCs w:val="24"/>
        </w:rPr>
        <w:t>,</w:t>
      </w:r>
      <w:r w:rsidR="00C63B61">
        <w:rPr>
          <w:rFonts w:cs="Times New Roman"/>
          <w:szCs w:val="24"/>
        </w:rPr>
        <w:t xml:space="preserve"> 2020</w:t>
      </w:r>
      <w:r>
        <w:rPr>
          <w:rFonts w:cs="Times New Roman"/>
          <w:szCs w:val="24"/>
        </w:rPr>
        <w:t xml:space="preserve">) </w:t>
      </w:r>
    </w:p>
    <w:p w:rsidR="00B12DE5" w:rsidRDefault="00B12DE5" w:rsidP="00B12DE5">
      <w:pPr>
        <w:jc w:val="both"/>
        <w:rPr>
          <w:rFonts w:cs="Times New Roman"/>
          <w:szCs w:val="24"/>
        </w:rPr>
      </w:pPr>
      <w:r>
        <w:rPr>
          <w:rFonts w:cs="Times New Roman"/>
          <w:szCs w:val="24"/>
        </w:rPr>
        <w:tab/>
        <w:t>La búsqueda de reducir a cero la contaminación producida por la generación tradicional es que se implementan formas de generación de energía limpia.</w:t>
      </w:r>
    </w:p>
    <w:p w:rsidR="00A34107" w:rsidRDefault="000E17E9" w:rsidP="000E17E9">
      <w:pPr>
        <w:jc w:val="both"/>
        <w:rPr>
          <w:rFonts w:cs="Times New Roman"/>
          <w:szCs w:val="24"/>
        </w:rPr>
      </w:pPr>
      <w:r>
        <w:rPr>
          <w:rFonts w:cs="Times New Roman"/>
          <w:szCs w:val="24"/>
        </w:rPr>
        <w:tab/>
        <w:t>En la Unión Europa, su legislación apunta a la reducción de la emisión de carbón instando a la comunidad a generar nuevos servicios energéticos con la participación de los consumidores</w:t>
      </w:r>
      <w:r w:rsidR="00B206FD">
        <w:rPr>
          <w:rFonts w:cs="Times New Roman"/>
          <w:szCs w:val="24"/>
        </w:rPr>
        <w:t>. De acuerdo con</w:t>
      </w:r>
      <w:sdt>
        <w:sdtPr>
          <w:rPr>
            <w:rFonts w:cs="Times New Roman"/>
            <w:szCs w:val="24"/>
          </w:rPr>
          <w:id w:val="645634673"/>
          <w:citation/>
        </w:sdtPr>
        <w:sdtContent>
          <w:r w:rsidR="00B206FD">
            <w:rPr>
              <w:rFonts w:cs="Times New Roman"/>
              <w:szCs w:val="24"/>
            </w:rPr>
            <w:fldChar w:fldCharType="begin"/>
          </w:r>
          <w:r w:rsidR="007A79C8">
            <w:rPr>
              <w:rFonts w:cs="Times New Roman"/>
              <w:szCs w:val="24"/>
            </w:rPr>
            <w:instrText xml:space="preserve">CITATION Par19 \l 11274 </w:instrText>
          </w:r>
          <w:r w:rsidR="00B206FD">
            <w:rPr>
              <w:rFonts w:cs="Times New Roman"/>
              <w:szCs w:val="24"/>
            </w:rPr>
            <w:fldChar w:fldCharType="separate"/>
          </w:r>
          <w:r w:rsidR="00151E33">
            <w:rPr>
              <w:rFonts w:cs="Times New Roman"/>
              <w:noProof/>
              <w:szCs w:val="24"/>
            </w:rPr>
            <w:t xml:space="preserve"> </w:t>
          </w:r>
          <w:r w:rsidR="00151E33" w:rsidRPr="00151E33">
            <w:rPr>
              <w:rFonts w:cs="Times New Roman"/>
              <w:noProof/>
              <w:szCs w:val="24"/>
            </w:rPr>
            <w:t>(Consejo, 2019)</w:t>
          </w:r>
          <w:r w:rsidR="00B206FD">
            <w:rPr>
              <w:rFonts w:cs="Times New Roman"/>
              <w:szCs w:val="24"/>
            </w:rPr>
            <w:fldChar w:fldCharType="end"/>
          </w:r>
        </w:sdtContent>
      </w:sdt>
      <w:r w:rsidR="00B206FD">
        <w:rPr>
          <w:rFonts w:cs="Times New Roman"/>
          <w:szCs w:val="24"/>
        </w:rPr>
        <w:t xml:space="preserve">, </w:t>
      </w:r>
      <w:r w:rsidR="0058546F">
        <w:rPr>
          <w:rFonts w:cs="Times New Roman"/>
          <w:szCs w:val="24"/>
        </w:rPr>
        <w:t>se define</w:t>
      </w:r>
      <w:r w:rsidR="00B12DE5">
        <w:rPr>
          <w:rFonts w:cs="Times New Roman"/>
          <w:szCs w:val="24"/>
        </w:rPr>
        <w:t xml:space="preserve"> como</w:t>
      </w:r>
      <w:r w:rsidR="0058546F">
        <w:rPr>
          <w:rFonts w:cs="Times New Roman"/>
          <w:szCs w:val="24"/>
        </w:rPr>
        <w:t>:</w:t>
      </w:r>
    </w:p>
    <w:p w:rsidR="0058546F" w:rsidRDefault="0058546F" w:rsidP="0058546F">
      <w:pPr>
        <w:ind w:left="705"/>
        <w:jc w:val="both"/>
        <w:rPr>
          <w:rFonts w:cs="Times New Roman"/>
          <w:szCs w:val="24"/>
        </w:rPr>
      </w:pPr>
      <w:r>
        <w:t xml:space="preserve">Mercados de la electricidad: los mercados de electricidad, incluidos los no organizados y los intercambios de electricidad, los mercados de negociación de </w:t>
      </w:r>
      <w:r>
        <w:lastRenderedPageBreak/>
        <w:t>energía, capacidad, balance y servicios auxiliares en cualquier período, incluidos los mercados de futuros, los mercados diarios y los mercados intradiarios.</w:t>
      </w:r>
    </w:p>
    <w:p w:rsidR="0058546F" w:rsidRDefault="0058546F" w:rsidP="0058546F">
      <w:pPr>
        <w:ind w:left="705"/>
        <w:jc w:val="both"/>
        <w:rPr>
          <w:rFonts w:cs="Times New Roman"/>
          <w:szCs w:val="24"/>
        </w:rPr>
      </w:pPr>
      <w:r>
        <w:rPr>
          <w:rFonts w:cs="Times New Roman"/>
          <w:szCs w:val="24"/>
        </w:rPr>
        <w:t>C</w:t>
      </w:r>
      <w:r w:rsidRPr="0058546F">
        <w:rPr>
          <w:rFonts w:cs="Times New Roman"/>
          <w:szCs w:val="24"/>
        </w:rPr>
        <w:t>ontrato con precios dinámicos de electricidad: un contrato de suministro de electricidad entre un suministrador y un cliente final que refleja la variación del precio en los mercados al contado, incluidos los mercados diarios e intradiarios, a intervalos al menos iguales al período de liquidación del mercado</w:t>
      </w:r>
      <w:r>
        <w:rPr>
          <w:rFonts w:cs="Times New Roman"/>
          <w:szCs w:val="24"/>
        </w:rPr>
        <w:t>.</w:t>
      </w:r>
    </w:p>
    <w:p w:rsidR="0058546F" w:rsidRDefault="000B6515" w:rsidP="000B6515">
      <w:pPr>
        <w:ind w:left="705"/>
        <w:jc w:val="both"/>
        <w:rPr>
          <w:rFonts w:cs="Times New Roman"/>
          <w:szCs w:val="24"/>
        </w:rPr>
      </w:pPr>
      <w:r>
        <w:rPr>
          <w:rFonts w:cs="Times New Roman"/>
          <w:szCs w:val="24"/>
        </w:rPr>
        <w:t>S</w:t>
      </w:r>
      <w:r w:rsidRPr="000B6515">
        <w:rPr>
          <w:rFonts w:cs="Times New Roman"/>
          <w:szCs w:val="24"/>
        </w:rPr>
        <w:t xml:space="preserve">istema de medición inteligente»: un sistema electrónico capaz de medir la cantidad de electricidad vertida a la red o el consumo de electricidad de la red, que proporciona más información que un contador convencional, y capaz de transmitir y recibir datos, con fines de información, seguimiento y control, utilizando una forma de </w:t>
      </w:r>
      <w:r>
        <w:rPr>
          <w:rFonts w:cs="Times New Roman"/>
          <w:szCs w:val="24"/>
        </w:rPr>
        <w:t>comunicación electrónica.</w:t>
      </w:r>
    </w:p>
    <w:p w:rsidR="000B6515" w:rsidRDefault="000B6515" w:rsidP="000B6515">
      <w:pPr>
        <w:ind w:left="705"/>
        <w:jc w:val="both"/>
      </w:pPr>
      <w:r>
        <w:t>Empresa eléctrica: cualquier persona física o jurídica que realice al menos una de las funciones siguientes: generación, transporte, distribución, agregación, respuesta de demanda, almacenamiento de energía, suministro o compra de electricidad, y que lleve a cabo las tareas comerciales, técnicas o de mantenimiento relacionadas con estas funciones, pero sin incluir a los clientes finales.</w:t>
      </w:r>
    </w:p>
    <w:p w:rsidR="00D02D1B" w:rsidRDefault="00D02D1B" w:rsidP="000B6515">
      <w:pPr>
        <w:ind w:left="705"/>
        <w:jc w:val="both"/>
      </w:pPr>
      <w:r>
        <w:t xml:space="preserve">Así mismo en </w:t>
      </w:r>
      <w:sdt>
        <w:sdtPr>
          <w:id w:val="-638196709"/>
          <w:citation/>
        </w:sdtPr>
        <w:sdtContent>
          <w:r>
            <w:fldChar w:fldCharType="begin"/>
          </w:r>
          <w:r w:rsidR="007A79C8">
            <w:instrText xml:space="preserve">CITATION Par19 \l 11274 </w:instrText>
          </w:r>
          <w:r>
            <w:fldChar w:fldCharType="separate"/>
          </w:r>
          <w:r w:rsidR="00151E33">
            <w:rPr>
              <w:noProof/>
            </w:rPr>
            <w:t>(Consejo, 2019)</w:t>
          </w:r>
          <w:r>
            <w:fldChar w:fldCharType="end"/>
          </w:r>
        </w:sdtContent>
      </w:sdt>
      <w:r>
        <w:t xml:space="preserve"> se establece normas generales de</w:t>
      </w:r>
    </w:p>
    <w:p w:rsidR="00D02D1B" w:rsidRDefault="00D02D1B" w:rsidP="00D02D1B">
      <w:pPr>
        <w:jc w:val="both"/>
      </w:pPr>
      <w:r>
        <w:t>organización de sector Eléctrico</w:t>
      </w:r>
      <w:r w:rsidR="00B12DE5">
        <w:t>.</w:t>
      </w:r>
      <w:r w:rsidR="00046944">
        <w:t xml:space="preserve"> </w:t>
      </w:r>
      <w:r w:rsidR="00B12DE5">
        <w:t xml:space="preserve">A </w:t>
      </w:r>
      <w:r w:rsidR="0000121E">
        <w:t>continuación,</w:t>
      </w:r>
      <w:r w:rsidR="00B12DE5">
        <w:t xml:space="preserve"> un </w:t>
      </w:r>
      <w:r w:rsidR="00D96343">
        <w:t xml:space="preserve">resumen de </w:t>
      </w:r>
      <w:r w:rsidR="00046944">
        <w:t>alguno</w:t>
      </w:r>
      <w:r w:rsidR="00D96343">
        <w:t>s</w:t>
      </w:r>
      <w:r w:rsidR="00046944">
        <w:t xml:space="preserve"> artículos importantes</w:t>
      </w:r>
      <w:r>
        <w:t>:</w:t>
      </w:r>
    </w:p>
    <w:p w:rsidR="00294718" w:rsidRDefault="00294718" w:rsidP="00D02D1B">
      <w:pPr>
        <w:jc w:val="both"/>
      </w:pPr>
      <w:r>
        <w:tab/>
        <w:t xml:space="preserve">Artículo 5: </w:t>
      </w:r>
      <w:r w:rsidR="00D96343">
        <w:t>Precios de suministro basados en el mercado.</w:t>
      </w:r>
    </w:p>
    <w:p w:rsidR="00D02D1B" w:rsidRDefault="00D02D1B" w:rsidP="00D02D1B">
      <w:pPr>
        <w:ind w:left="705"/>
        <w:jc w:val="both"/>
      </w:pPr>
      <w:r>
        <w:t>Los suministradores podrán determinar libremente el precio al que suministran electricidad a los clientes. Los Estados miembros adoptarán las medidas adecuadas para garantizar una competencia efectiva entre suministradores.</w:t>
      </w:r>
    </w:p>
    <w:p w:rsidR="00D02D1B" w:rsidRDefault="00D02D1B" w:rsidP="00D02D1B">
      <w:pPr>
        <w:ind w:left="705"/>
        <w:jc w:val="both"/>
      </w:pPr>
      <w:r>
        <w:t>A más tardar el 31 de diciembre de 2025, la Comisión revisará y presentará un informe al Parlamento Europeo y al Consejo sobre la aplicación del presente artículo con el fin de lograr una fijación de precios de la electricidad minorista basados en el mercado, junto con una propuesta legislativa, si procede. Dicha propuesta legislativa podrá incluir una fecha límite para los precios regulados.</w:t>
      </w:r>
    </w:p>
    <w:p w:rsidR="00294718" w:rsidRDefault="00294718" w:rsidP="00D02D1B">
      <w:pPr>
        <w:ind w:left="705"/>
        <w:jc w:val="both"/>
      </w:pPr>
      <w:r>
        <w:t>Artículo 7: Líneas Directas</w:t>
      </w:r>
      <w:r w:rsidR="00A775CD">
        <w:t>.</w:t>
      </w:r>
    </w:p>
    <w:p w:rsidR="00294718" w:rsidRDefault="00294718" w:rsidP="00A775CD">
      <w:pPr>
        <w:ind w:left="705"/>
        <w:jc w:val="both"/>
        <w:rPr>
          <w:rFonts w:cs="Times New Roman"/>
          <w:szCs w:val="24"/>
        </w:rPr>
      </w:pPr>
      <w:r w:rsidRPr="00A775CD">
        <w:rPr>
          <w:rFonts w:cs="Times New Roman"/>
          <w:szCs w:val="24"/>
        </w:rPr>
        <w:t xml:space="preserve">Todos los productores y empresas de suministro de electricidad establecidos en su territorio puedan suministrar electricidad mediante una línea directa a sus propias </w:t>
      </w:r>
      <w:r w:rsidRPr="00A775CD">
        <w:rPr>
          <w:rFonts w:cs="Times New Roman"/>
          <w:szCs w:val="24"/>
        </w:rPr>
        <w:lastRenderedPageBreak/>
        <w:t>instalaciones, filiales y clientes, sin estar sujetos a procedimientos administrativos o costes desproporcionados.</w:t>
      </w:r>
    </w:p>
    <w:p w:rsidR="00A775CD" w:rsidRDefault="00A775CD" w:rsidP="00A775CD">
      <w:pPr>
        <w:ind w:left="705"/>
        <w:jc w:val="both"/>
        <w:rPr>
          <w:rFonts w:cs="Times New Roman"/>
          <w:szCs w:val="24"/>
        </w:rPr>
      </w:pPr>
      <w:r>
        <w:rPr>
          <w:rFonts w:cs="Times New Roman"/>
          <w:szCs w:val="24"/>
        </w:rPr>
        <w:t>Artículo 13: Contrato de Agregación.</w:t>
      </w:r>
    </w:p>
    <w:p w:rsidR="00A775CD" w:rsidRDefault="00A775CD" w:rsidP="00A775CD">
      <w:pPr>
        <w:ind w:left="705"/>
        <w:jc w:val="both"/>
        <w:rPr>
          <w:rFonts w:cs="Times New Roman"/>
          <w:szCs w:val="24"/>
        </w:rPr>
      </w:pPr>
      <w:r w:rsidRPr="00A775CD">
        <w:rPr>
          <w:rFonts w:cs="Times New Roman"/>
          <w:szCs w:val="24"/>
        </w:rPr>
        <w:t>Los Estados miembros garantizarán que todos los clientes sean libres para comprar y vender servicios de electricidad, incluida la agregación, distintos al suministro, independientemente de su contrato de suministro de electricidad y obtenidos a través de una empresa eléctrica de su elección.</w:t>
      </w:r>
    </w:p>
    <w:p w:rsidR="00A775CD" w:rsidRDefault="00A775CD" w:rsidP="00A775CD">
      <w:pPr>
        <w:ind w:left="705"/>
        <w:jc w:val="both"/>
        <w:rPr>
          <w:rFonts w:cs="Times New Roman"/>
          <w:szCs w:val="24"/>
        </w:rPr>
      </w:pPr>
      <w:r>
        <w:rPr>
          <w:rFonts w:cs="Times New Roman"/>
          <w:szCs w:val="24"/>
        </w:rPr>
        <w:t>Artículo 14: Herramientas de comparación.</w:t>
      </w:r>
    </w:p>
    <w:p w:rsidR="00A775CD" w:rsidRDefault="00A775CD" w:rsidP="00A775CD">
      <w:pPr>
        <w:ind w:left="705"/>
        <w:jc w:val="both"/>
      </w:pPr>
      <w:r>
        <w:t>Los Estados miembros velarán por que como mínimo los clientes domésticos y las microempresas con un consumo anual esperado inferior a 100.000 kW</w:t>
      </w:r>
      <w:r w:rsidR="0000121E">
        <w:t>/</w:t>
      </w:r>
      <w:r>
        <w:t>h tengan acceso, gratuitamente, al menos a una herramienta de comparación de las ofertas de suministradores, incluidas las ofertas de contratos con precios dinámicos de electricidad. Los clientes serán informados de la disponibilidad de tales herramientas dentro de sus facturas o junto a las mismas, o por otros medios.</w:t>
      </w:r>
    </w:p>
    <w:p w:rsidR="00A775CD" w:rsidRDefault="00A775CD" w:rsidP="00A775CD">
      <w:pPr>
        <w:ind w:left="705"/>
        <w:jc w:val="both"/>
      </w:pPr>
      <w:r>
        <w:t>Artículo 15: Clientes Activos.</w:t>
      </w:r>
    </w:p>
    <w:p w:rsidR="00A775CD" w:rsidRDefault="00A775CD" w:rsidP="00A775CD">
      <w:pPr>
        <w:ind w:left="705"/>
        <w:jc w:val="both"/>
      </w:pPr>
      <w:r>
        <w:t>Los Estados miembros garantizarán que los clientes activos tengan derecho a vender electricidad autogenerada, en particular mediante acuerdos de compraventa de energía.</w:t>
      </w:r>
    </w:p>
    <w:p w:rsidR="00266E23" w:rsidRDefault="00266E23" w:rsidP="00A775CD">
      <w:pPr>
        <w:ind w:left="705"/>
        <w:jc w:val="both"/>
      </w:pPr>
      <w:r>
        <w:t xml:space="preserve">Artículo 17: Respuesta de demanda mediante agregación </w:t>
      </w:r>
    </w:p>
    <w:p w:rsidR="00266E23" w:rsidRDefault="00266E23" w:rsidP="00266E23">
      <w:pPr>
        <w:ind w:left="705"/>
        <w:jc w:val="both"/>
      </w:pPr>
      <w:r>
        <w:t>Los Estados miembros permitirán y fomentarán la participación de la respuesta a la demanda mediante agregación en los mercados de electricidad. Los Estados miembros permitirán a los clientes finales, incluidos aquellos que ofrecen respuesta de demanda mediante agregación, participar junto a los productores de manera no discriminatoria en todos los mercados de electricidad.</w:t>
      </w:r>
    </w:p>
    <w:p w:rsidR="00266E23" w:rsidRDefault="00266E23" w:rsidP="00266E23">
      <w:pPr>
        <w:ind w:left="705"/>
        <w:jc w:val="both"/>
      </w:pPr>
      <w:r>
        <w:t>Artículo 19: Sistemas de medición inteligentes</w:t>
      </w:r>
      <w:r w:rsidR="00612CCB">
        <w:t>.</w:t>
      </w:r>
    </w:p>
    <w:p w:rsidR="00266E23" w:rsidRDefault="00266E23" w:rsidP="00266E23">
      <w:pPr>
        <w:ind w:left="705"/>
        <w:jc w:val="both"/>
      </w:pPr>
      <w:r>
        <w:t>Los Estados miembros garantizarán el despliegue en sus territorios de sistemas de medición inteligentes que contribuirán a la participación activa de los clientes en el mercado de la electricidad. Dicho despliegue podrá estar sujeta a una valoración de costes y beneficios que deberá realizarse de conformidad con los principios establecidos en el anexo II.</w:t>
      </w:r>
    </w:p>
    <w:p w:rsidR="00266E23" w:rsidRDefault="00266E23" w:rsidP="00266E23">
      <w:pPr>
        <w:ind w:left="705"/>
        <w:jc w:val="both"/>
      </w:pPr>
      <w:r>
        <w:t>Artículo 20: Funcionalidades de los sistemas de medición inteligente</w:t>
      </w:r>
      <w:r w:rsidR="00612CCB">
        <w:t>.</w:t>
      </w:r>
    </w:p>
    <w:p w:rsidR="00612CCB" w:rsidRDefault="00612CCB" w:rsidP="00266E23">
      <w:pPr>
        <w:ind w:left="705"/>
        <w:jc w:val="both"/>
      </w:pPr>
      <w:r>
        <w:lastRenderedPageBreak/>
        <w:t>Los sistemas de medición inteligentes contabilizarán con precisión el consumo real de electricidad y serán capaces de proporcionar a los clientes finales información sobre el tiempo real de uso. Los datos de consumo histórico validados serán accesibles y visibles de manera fácil y segura para los clientes finales previa solicitud y sin costes adicionales. Los datos de consumo en tiempo c</w:t>
      </w:r>
      <w:r w:rsidR="0000121E">
        <w:t>a</w:t>
      </w:r>
      <w:r>
        <w:t>si</w:t>
      </w:r>
      <w:r w:rsidR="0000121E">
        <w:t xml:space="preserve"> </w:t>
      </w:r>
      <w:r>
        <w:t>real no validados serán también accesibles al cliente final de manera fácil y segura sin costes adicionales, a través de un interfaz normalizado o de un acceso a distancia, para apoyar programas informatizados de eficiencia energética, respuesta a la demanda y otros servicios.</w:t>
      </w:r>
    </w:p>
    <w:p w:rsidR="00612CCB" w:rsidRDefault="00612CCB" w:rsidP="00266E23">
      <w:pPr>
        <w:ind w:left="705"/>
        <w:jc w:val="both"/>
      </w:pPr>
      <w:r>
        <w:t>La seguridad de los sistemas de medición inteligentes y de la transmisión de datos estará garantizada de conformidad con la normativa aplicable de la Unión en materia de seguridad, teniendo debidamente en cuenta las mejores técnicas disponibles para garantizar el máximo nivel de protección en materia de ciberseguridad y teniendo en cuenta asimismo los costes y el principio de proporcionalidad.</w:t>
      </w:r>
    </w:p>
    <w:p w:rsidR="00612CCB" w:rsidRDefault="00612CCB" w:rsidP="00266E23">
      <w:pPr>
        <w:ind w:left="705"/>
        <w:jc w:val="both"/>
      </w:pPr>
      <w:r>
        <w:t>Los operadores de los contadores deberán garantizar que los contadores de los clientes activos que viertan electricidad a la red puedan contabilizar la electricidad vertida a la red desde las instalaciones de los clientes activos.</w:t>
      </w:r>
    </w:p>
    <w:p w:rsidR="00612CCB" w:rsidRPr="00A775CD" w:rsidRDefault="00612CCB" w:rsidP="00612CCB">
      <w:pPr>
        <w:ind w:left="705"/>
        <w:jc w:val="both"/>
        <w:rPr>
          <w:rFonts w:cs="Times New Roman"/>
          <w:szCs w:val="24"/>
        </w:rPr>
      </w:pPr>
      <w:r>
        <w:t>Cuando los clientes finales lo soliciten, los datos sobre la electricidad que viertan a la red y sus datos de consumo eléctrico se pondrán a su disposición, de conformidad con los actos de ejecución adoptados en virtud del artículo 24, a través de una interfaz de comunicación estándar o por acceso remoto, o a disposición de un tercero que actúe en su nombre, en un formato fácilmente comprensible, según lo previsto en el artículo 24, que les permita comparar ofertas en condiciones de igualdad.</w:t>
      </w:r>
    </w:p>
    <w:p w:rsidR="001C10DF" w:rsidRDefault="006E4722" w:rsidP="003203E3">
      <w:pPr>
        <w:ind w:left="720"/>
        <w:jc w:val="both"/>
        <w:rPr>
          <w:rFonts w:cs="Times New Roman"/>
          <w:szCs w:val="24"/>
        </w:rPr>
      </w:pPr>
      <w:r>
        <w:rPr>
          <w:rFonts w:cs="Times New Roman"/>
          <w:szCs w:val="24"/>
        </w:rPr>
        <w:t>En la Argentina aún no existe una regulación como la citada en la Unión Europea.</w:t>
      </w:r>
    </w:p>
    <w:p w:rsidR="00D96343" w:rsidRDefault="00D96343" w:rsidP="003203E3">
      <w:pPr>
        <w:ind w:left="720"/>
        <w:jc w:val="both"/>
        <w:rPr>
          <w:rFonts w:cs="Times New Roman"/>
          <w:szCs w:val="24"/>
        </w:rPr>
      </w:pPr>
    </w:p>
    <w:p w:rsidR="00963110" w:rsidRDefault="003F4E6F" w:rsidP="00963110">
      <w:pPr>
        <w:pStyle w:val="Subtitle"/>
      </w:pPr>
      <w:r w:rsidRPr="003F4E6F">
        <w:t xml:space="preserve">Descripción </w:t>
      </w:r>
      <w:r w:rsidR="00963110">
        <w:t>D</w:t>
      </w:r>
      <w:r w:rsidRPr="003F4E6F">
        <w:t xml:space="preserve">el </w:t>
      </w:r>
      <w:r w:rsidR="00963110">
        <w:t>Á</w:t>
      </w:r>
      <w:r w:rsidRPr="003F4E6F">
        <w:t xml:space="preserve">rea </w:t>
      </w:r>
      <w:r w:rsidR="00963110">
        <w:t>P</w:t>
      </w:r>
      <w:r w:rsidRPr="003F4E6F">
        <w:t>roblemática</w:t>
      </w:r>
      <w:r>
        <w:t xml:space="preserve"> </w:t>
      </w:r>
    </w:p>
    <w:p w:rsidR="003F4E6F" w:rsidRDefault="00D96343" w:rsidP="00EF1062">
      <w:pPr>
        <w:ind w:firstLine="720"/>
        <w:jc w:val="both"/>
        <w:rPr>
          <w:rFonts w:cs="Times New Roman"/>
          <w:szCs w:val="24"/>
        </w:rPr>
      </w:pPr>
      <w:r>
        <w:rPr>
          <w:rFonts w:cs="Times New Roman"/>
          <w:szCs w:val="24"/>
        </w:rPr>
        <w:t>Con lo expuesto sobre la legislación, m</w:t>
      </w:r>
      <w:r w:rsidR="000B1716">
        <w:rPr>
          <w:rFonts w:cs="Times New Roman"/>
          <w:szCs w:val="24"/>
        </w:rPr>
        <w:t xml:space="preserve">ientras más energía renovable se ponga a disposición en la red por parte de los usuarios </w:t>
      </w:r>
      <w:r w:rsidR="00B12DE5">
        <w:rPr>
          <w:rFonts w:cs="Times New Roman"/>
          <w:szCs w:val="24"/>
        </w:rPr>
        <w:t xml:space="preserve">como servicio de agregación </w:t>
      </w:r>
      <w:r w:rsidR="000B1716">
        <w:rPr>
          <w:rFonts w:cs="Times New Roman"/>
          <w:szCs w:val="24"/>
        </w:rPr>
        <w:t xml:space="preserve">menos generación de energía tradicional </w:t>
      </w:r>
      <w:r>
        <w:rPr>
          <w:rFonts w:cs="Times New Roman"/>
          <w:szCs w:val="24"/>
        </w:rPr>
        <w:t xml:space="preserve">con rastro de carbono </w:t>
      </w:r>
      <w:r w:rsidR="000B1716">
        <w:rPr>
          <w:rFonts w:cs="Times New Roman"/>
          <w:szCs w:val="24"/>
        </w:rPr>
        <w:t xml:space="preserve">se necesitará. </w:t>
      </w:r>
      <w:r w:rsidR="000D5658">
        <w:rPr>
          <w:rFonts w:cs="Times New Roman"/>
          <w:szCs w:val="24"/>
        </w:rPr>
        <w:t xml:space="preserve">La consecuencia clara para el medio ambiente de que cada usuario pueda autoabastecerse de energía no es </w:t>
      </w:r>
      <w:r w:rsidR="000D5658">
        <w:rPr>
          <w:rFonts w:cs="Times New Roman"/>
          <w:szCs w:val="24"/>
        </w:rPr>
        <w:lastRenderedPageBreak/>
        <w:t>suficiente motivación para cada usuario decida realizar la inversión necesaria y los cambios que requieran en la instalación del domicilio particular. Hacer rentable la inversión en su domicilio</w:t>
      </w:r>
      <w:r w:rsidR="000B1716">
        <w:rPr>
          <w:rFonts w:cs="Times New Roman"/>
          <w:szCs w:val="24"/>
        </w:rPr>
        <w:t>,</w:t>
      </w:r>
      <w:r w:rsidR="000D5658">
        <w:rPr>
          <w:rFonts w:cs="Times New Roman"/>
          <w:szCs w:val="24"/>
        </w:rPr>
        <w:t xml:space="preserve"> más allá del ahorro de energía de la red, es la motivación </w:t>
      </w:r>
      <w:r w:rsidR="000B1716">
        <w:rPr>
          <w:rFonts w:cs="Times New Roman"/>
          <w:szCs w:val="24"/>
        </w:rPr>
        <w:t>que hace falta para lograr impulsar a realizar esta transformación por parte de los usuarios.</w:t>
      </w:r>
    </w:p>
    <w:p w:rsidR="000B1716" w:rsidRDefault="000B1716" w:rsidP="00EF1062">
      <w:pPr>
        <w:ind w:firstLine="720"/>
        <w:jc w:val="both"/>
        <w:rPr>
          <w:rFonts w:cs="Times New Roman"/>
          <w:szCs w:val="24"/>
        </w:rPr>
      </w:pPr>
    </w:p>
    <w:p w:rsidR="00531C1A" w:rsidRPr="00531C1A" w:rsidRDefault="00484DC9" w:rsidP="00531C1A">
      <w:pPr>
        <w:pStyle w:val="Title"/>
        <w:spacing w:line="360" w:lineRule="auto"/>
      </w:pPr>
      <w:r>
        <w:t>Justificación</w:t>
      </w:r>
    </w:p>
    <w:p w:rsidR="006E4722" w:rsidRDefault="006E4722" w:rsidP="006E4722">
      <w:pPr>
        <w:ind w:firstLine="720"/>
        <w:jc w:val="both"/>
        <w:rPr>
          <w:rFonts w:cs="Times New Roman"/>
          <w:szCs w:val="24"/>
        </w:rPr>
      </w:pPr>
      <w:r>
        <w:rPr>
          <w:rFonts w:cs="Times New Roman"/>
          <w:szCs w:val="24"/>
        </w:rPr>
        <w:t>Es necesario que las empresas o usuarios que prest</w:t>
      </w:r>
      <w:r w:rsidR="00B115D2">
        <w:rPr>
          <w:rFonts w:cs="Times New Roman"/>
          <w:szCs w:val="24"/>
        </w:rPr>
        <w:t>a</w:t>
      </w:r>
      <w:r>
        <w:rPr>
          <w:rFonts w:cs="Times New Roman"/>
          <w:szCs w:val="24"/>
        </w:rPr>
        <w:t>n servicios de agregación puedan contar con una herramienta informática para la valorización de la unidad de energía y de esta manera poder maximizar sus ingresos.</w:t>
      </w:r>
    </w:p>
    <w:p w:rsidR="00B115D2" w:rsidRDefault="00B115D2" w:rsidP="006E4722">
      <w:pPr>
        <w:ind w:firstLine="720"/>
        <w:jc w:val="both"/>
        <w:rPr>
          <w:rFonts w:cs="Times New Roman"/>
          <w:szCs w:val="24"/>
        </w:rPr>
      </w:pPr>
      <w:r>
        <w:rPr>
          <w:rFonts w:cs="Times New Roman"/>
          <w:szCs w:val="24"/>
        </w:rPr>
        <w:t>Varios beneficios pueden observarse con el uso de la herramienta creada.</w:t>
      </w:r>
    </w:p>
    <w:p w:rsidR="00B115D2" w:rsidRDefault="00B115D2" w:rsidP="006E4722">
      <w:pPr>
        <w:ind w:firstLine="720"/>
        <w:jc w:val="both"/>
        <w:rPr>
          <w:rFonts w:cs="Times New Roman"/>
          <w:szCs w:val="24"/>
        </w:rPr>
      </w:pPr>
      <w:r>
        <w:rPr>
          <w:rFonts w:cs="Times New Roman"/>
          <w:szCs w:val="24"/>
        </w:rPr>
        <w:t>Un servicio de agregación puede contar con acumuladores de energía o baterías, las mismas se pueden cargar en momento de luz solar plena o con vientos y elegir descargarlas en la red en el momento en el que el precio de la unidad de energía sea más conveniente.</w:t>
      </w:r>
    </w:p>
    <w:p w:rsidR="00B115D2" w:rsidRDefault="00B115D2" w:rsidP="006E4722">
      <w:pPr>
        <w:ind w:firstLine="720"/>
        <w:jc w:val="both"/>
        <w:rPr>
          <w:rFonts w:cs="Times New Roman"/>
          <w:szCs w:val="24"/>
        </w:rPr>
      </w:pPr>
      <w:r>
        <w:rPr>
          <w:rFonts w:cs="Times New Roman"/>
          <w:szCs w:val="24"/>
        </w:rPr>
        <w:t xml:space="preserve">Una empresa puede tener proyectar el retorno de inversión al </w:t>
      </w:r>
      <w:r w:rsidR="00CD311E">
        <w:rPr>
          <w:rFonts w:cs="Times New Roman"/>
          <w:szCs w:val="24"/>
        </w:rPr>
        <w:t>momento de empezar un proyecto de generación</w:t>
      </w:r>
      <w:r w:rsidR="00C32AF8">
        <w:rPr>
          <w:rFonts w:cs="Times New Roman"/>
          <w:szCs w:val="24"/>
        </w:rPr>
        <w:t xml:space="preserve"> distribuida, esto da la certidumbre necesaria para tomar la actividad como un emprendimiento.</w:t>
      </w:r>
    </w:p>
    <w:p w:rsidR="00C32AF8" w:rsidRDefault="00C32AF8" w:rsidP="006E4722">
      <w:pPr>
        <w:ind w:firstLine="720"/>
        <w:jc w:val="both"/>
        <w:rPr>
          <w:rFonts w:cs="Times New Roman"/>
          <w:szCs w:val="24"/>
        </w:rPr>
      </w:pPr>
      <w:r>
        <w:rPr>
          <w:rFonts w:cs="Times New Roman"/>
          <w:szCs w:val="24"/>
        </w:rPr>
        <w:t>El uso de la herramienta logra que los servicios de agregación se utilicen en los horarios que corresponde a mayor demanda haciendo eficiente el uso de los recursos energéticos de generación limpia.</w:t>
      </w:r>
    </w:p>
    <w:p w:rsidR="00C32AF8" w:rsidRDefault="00C32AF8" w:rsidP="006E4722">
      <w:pPr>
        <w:ind w:firstLine="720"/>
        <w:jc w:val="both"/>
        <w:rPr>
          <w:rFonts w:cs="Times New Roman"/>
          <w:szCs w:val="24"/>
        </w:rPr>
      </w:pPr>
    </w:p>
    <w:p w:rsidR="00963110" w:rsidRDefault="00484DC9" w:rsidP="008568CF">
      <w:pPr>
        <w:pStyle w:val="Title"/>
        <w:spacing w:line="360" w:lineRule="auto"/>
      </w:pPr>
      <w:r>
        <w:t xml:space="preserve">Objetivo </w:t>
      </w:r>
      <w:r w:rsidR="00963110">
        <w:t>G</w:t>
      </w:r>
      <w:r>
        <w:t xml:space="preserve">eneral </w:t>
      </w:r>
      <w:r w:rsidR="00963110">
        <w:t>D</w:t>
      </w:r>
      <w:r>
        <w:t xml:space="preserve">el </w:t>
      </w:r>
      <w:r w:rsidR="00963110">
        <w:t>Proyecto</w:t>
      </w:r>
    </w:p>
    <w:p w:rsidR="00963110" w:rsidRDefault="00C32AF8" w:rsidP="00963110">
      <w:r>
        <w:tab/>
        <w:t xml:space="preserve">Diseñar y desarrollar un sistema informático que reciba información por parte de los medidores inteligentes instalados </w:t>
      </w:r>
      <w:r w:rsidR="007802AF">
        <w:t>y en base al consumo total de energía en una red distribuida, la energía que aportan los sistemas tradicionales de generación y los sistemas de agregación, junto con las condiciones meteorológicas; valorice el precio de la unidad de energía KW/h.</w:t>
      </w:r>
    </w:p>
    <w:p w:rsidR="007802AF" w:rsidRPr="00963110" w:rsidRDefault="007802AF" w:rsidP="00963110"/>
    <w:p w:rsidR="00484DC9" w:rsidRDefault="00484DC9" w:rsidP="008568CF">
      <w:pPr>
        <w:pStyle w:val="Title"/>
        <w:spacing w:line="360" w:lineRule="auto"/>
      </w:pPr>
      <w:r>
        <w:t xml:space="preserve">Objetivos </w:t>
      </w:r>
      <w:r w:rsidR="00963110">
        <w:t>E</w:t>
      </w:r>
      <w:r>
        <w:t xml:space="preserve">specíficos </w:t>
      </w:r>
      <w:r w:rsidR="00963110">
        <w:t>D</w:t>
      </w:r>
      <w:r>
        <w:t xml:space="preserve">el </w:t>
      </w:r>
      <w:r w:rsidR="00963110">
        <w:t>P</w:t>
      </w:r>
      <w:r>
        <w:t>royecto</w:t>
      </w:r>
    </w:p>
    <w:p w:rsidR="00963110" w:rsidRDefault="007802AF" w:rsidP="00963110">
      <w:r>
        <w:tab/>
      </w:r>
      <w:r w:rsidR="00057781">
        <w:t>Recabar información de contratos con servicios de agregación cada 15 minutos, mediante servicios de internet.</w:t>
      </w:r>
    </w:p>
    <w:p w:rsidR="00057781" w:rsidRDefault="00057781" w:rsidP="00963110">
      <w:r>
        <w:lastRenderedPageBreak/>
        <w:tab/>
        <w:t>Recabar información meteorológica con respecto a la incidencia solar y velocidad de vientos, mediante servicios de internet.</w:t>
      </w:r>
    </w:p>
    <w:p w:rsidR="007802AF" w:rsidRPr="00963110" w:rsidRDefault="007802AF" w:rsidP="00963110"/>
    <w:p w:rsidR="00484DC9" w:rsidRDefault="00484DC9" w:rsidP="00EF1062">
      <w:pPr>
        <w:pStyle w:val="Title"/>
        <w:spacing w:line="360" w:lineRule="auto"/>
      </w:pPr>
      <w:r>
        <w:t xml:space="preserve">Marco </w:t>
      </w:r>
      <w:r w:rsidR="00963110">
        <w:t>T</w:t>
      </w:r>
      <w:r>
        <w:t>e</w:t>
      </w:r>
      <w:r w:rsidR="00963110">
        <w:t>ó</w:t>
      </w:r>
      <w:r>
        <w:t xml:space="preserve">rico </w:t>
      </w:r>
      <w:r w:rsidR="00963110" w:rsidRPr="00EF1062">
        <w:t>R</w:t>
      </w:r>
      <w:r w:rsidRPr="00EF1062">
        <w:t>eferencial</w:t>
      </w:r>
    </w:p>
    <w:p w:rsidR="003203E3" w:rsidRDefault="003203E3" w:rsidP="003203E3">
      <w:pPr>
        <w:pStyle w:val="Subtitle"/>
      </w:pPr>
      <w:r>
        <w:t>Dominio del Problema</w:t>
      </w:r>
    </w:p>
    <w:p w:rsidR="00740AAA" w:rsidRDefault="00740AAA" w:rsidP="00740AAA">
      <w:pPr>
        <w:ind w:left="1418"/>
        <w:jc w:val="both"/>
        <w:rPr>
          <w:rFonts w:cs="Times New Roman"/>
          <w:szCs w:val="24"/>
        </w:rPr>
      </w:pPr>
      <w:r>
        <w:rPr>
          <w:rFonts w:cs="Times New Roman"/>
          <w:szCs w:val="24"/>
        </w:rPr>
        <w:t xml:space="preserve">Según </w:t>
      </w:r>
      <w:sdt>
        <w:sdtPr>
          <w:rPr>
            <w:rFonts w:cs="Times New Roman"/>
            <w:szCs w:val="24"/>
          </w:rPr>
          <w:id w:val="-1890104909"/>
          <w:citation/>
        </w:sdtPr>
        <w:sdtContent>
          <w:r w:rsidR="00011A81">
            <w:rPr>
              <w:rFonts w:cs="Times New Roman"/>
              <w:szCs w:val="24"/>
            </w:rPr>
            <w:fldChar w:fldCharType="begin"/>
          </w:r>
          <w:r w:rsidR="00011A81">
            <w:rPr>
              <w:rFonts w:cs="Times New Roman"/>
              <w:szCs w:val="24"/>
            </w:rPr>
            <w:instrText xml:space="preserve"> CITATION Nik14 \l 11274 </w:instrText>
          </w:r>
          <w:r w:rsidR="00011A81">
            <w:rPr>
              <w:rFonts w:cs="Times New Roman"/>
              <w:szCs w:val="24"/>
            </w:rPr>
            <w:fldChar w:fldCharType="separate"/>
          </w:r>
          <w:r w:rsidR="00151E33" w:rsidRPr="00151E33">
            <w:rPr>
              <w:rFonts w:cs="Times New Roman"/>
              <w:noProof/>
              <w:szCs w:val="24"/>
            </w:rPr>
            <w:t>(Hatziargyriou, 2014)</w:t>
          </w:r>
          <w:r w:rsidR="00011A81">
            <w:rPr>
              <w:rFonts w:cs="Times New Roman"/>
              <w:szCs w:val="24"/>
            </w:rPr>
            <w:fldChar w:fldCharType="end"/>
          </w:r>
        </w:sdtContent>
      </w:sdt>
      <w:r w:rsidRPr="004C6A62">
        <w:t>.</w:t>
      </w:r>
      <w:r>
        <w:t xml:space="preserve"> </w:t>
      </w:r>
      <w:r w:rsidRPr="005D3519">
        <w:rPr>
          <w:rFonts w:cs="Times New Roman"/>
          <w:szCs w:val="24"/>
        </w:rPr>
        <w:t>Las micro</w:t>
      </w:r>
      <w:r>
        <w:rPr>
          <w:rFonts w:cs="Times New Roman"/>
          <w:szCs w:val="24"/>
        </w:rPr>
        <w:t xml:space="preserve">grids </w:t>
      </w:r>
      <w:r w:rsidRPr="005D3519">
        <w:rPr>
          <w:rFonts w:cs="Times New Roman"/>
          <w:szCs w:val="24"/>
        </w:rPr>
        <w:t xml:space="preserve">comprenden sistemas de distribución de </w:t>
      </w:r>
      <w:r>
        <w:rPr>
          <w:rFonts w:cs="Times New Roman"/>
          <w:szCs w:val="24"/>
        </w:rPr>
        <w:t>baja tensión</w:t>
      </w:r>
      <w:r w:rsidRPr="005D3519">
        <w:rPr>
          <w:rFonts w:cs="Times New Roman"/>
          <w:szCs w:val="24"/>
        </w:rPr>
        <w:t xml:space="preserve"> con recursos energéticos dis</w:t>
      </w:r>
      <w:r>
        <w:rPr>
          <w:rFonts w:cs="Times New Roman"/>
          <w:szCs w:val="24"/>
        </w:rPr>
        <w:t>tribuidos (</w:t>
      </w:r>
      <w:r w:rsidR="0000121E">
        <w:rPr>
          <w:rFonts w:cs="Times New Roman"/>
          <w:szCs w:val="24"/>
        </w:rPr>
        <w:t>micro turbinas</w:t>
      </w:r>
      <w:r>
        <w:rPr>
          <w:rFonts w:cs="Times New Roman"/>
          <w:szCs w:val="24"/>
        </w:rPr>
        <w:t xml:space="preserve">, </w:t>
      </w:r>
      <w:r w:rsidRPr="005D3519">
        <w:rPr>
          <w:rFonts w:cs="Times New Roman"/>
          <w:szCs w:val="24"/>
        </w:rPr>
        <w:t>pilas de combustible, fotovoltaica, etc.) junto con dispositivos de almacenamiento (volantes, condensadores de energía y</w:t>
      </w:r>
      <w:r>
        <w:rPr>
          <w:rFonts w:cs="Times New Roman"/>
          <w:szCs w:val="24"/>
        </w:rPr>
        <w:t xml:space="preserve"> </w:t>
      </w:r>
      <w:r w:rsidRPr="005D3519">
        <w:rPr>
          <w:rFonts w:cs="Times New Roman"/>
          <w:szCs w:val="24"/>
        </w:rPr>
        <w:t>baterías) y cargas flexibles. Dichos sistemas pueden operarse de manera no autónoma, si</w:t>
      </w:r>
      <w:r>
        <w:rPr>
          <w:rFonts w:cs="Times New Roman"/>
          <w:szCs w:val="24"/>
        </w:rPr>
        <w:t xml:space="preserve"> </w:t>
      </w:r>
      <w:r w:rsidRPr="005D3519">
        <w:rPr>
          <w:rFonts w:cs="Times New Roman"/>
          <w:szCs w:val="24"/>
        </w:rPr>
        <w:t>interconectados a la red, o de forma autónoma, si están desco</w:t>
      </w:r>
      <w:r>
        <w:rPr>
          <w:rFonts w:cs="Times New Roman"/>
          <w:szCs w:val="24"/>
        </w:rPr>
        <w:t xml:space="preserve">nectados de la red principal. </w:t>
      </w:r>
      <w:r w:rsidRPr="005D3519">
        <w:rPr>
          <w:rFonts w:cs="Times New Roman"/>
          <w:szCs w:val="24"/>
        </w:rPr>
        <w:t xml:space="preserve">El funcionamiento de </w:t>
      </w:r>
      <w:r w:rsidR="0000121E" w:rsidRPr="005D3519">
        <w:rPr>
          <w:rFonts w:cs="Times New Roman"/>
          <w:szCs w:val="24"/>
        </w:rPr>
        <w:t>micro fuentes</w:t>
      </w:r>
      <w:r w:rsidRPr="005D3519">
        <w:rPr>
          <w:rFonts w:cs="Times New Roman"/>
          <w:szCs w:val="24"/>
        </w:rPr>
        <w:t xml:space="preserve"> en la red puede proporcionar distintos b</w:t>
      </w:r>
      <w:r>
        <w:rPr>
          <w:rFonts w:cs="Times New Roman"/>
          <w:szCs w:val="24"/>
        </w:rPr>
        <w:t xml:space="preserve">eneficios al sistema en general </w:t>
      </w:r>
      <w:r w:rsidRPr="005D3519">
        <w:rPr>
          <w:rFonts w:cs="Times New Roman"/>
          <w:szCs w:val="24"/>
        </w:rPr>
        <w:t>rendimiento, si se gestiona y coordina eficazmente.</w:t>
      </w:r>
      <w:r w:rsidR="006F4569" w:rsidRPr="006F4569">
        <w:t xml:space="preserve"> </w:t>
      </w:r>
      <w:r w:rsidR="006F4569">
        <w:t>(p. 4)</w:t>
      </w:r>
    </w:p>
    <w:p w:rsidR="00FB3159" w:rsidRDefault="00011A81" w:rsidP="00580B6C">
      <w:pPr>
        <w:ind w:left="1418"/>
        <w:jc w:val="both"/>
        <w:rPr>
          <w:rFonts w:cs="Times New Roman"/>
          <w:szCs w:val="24"/>
        </w:rPr>
      </w:pPr>
      <w:r>
        <w:rPr>
          <w:rFonts w:cs="Times New Roman"/>
          <w:szCs w:val="24"/>
        </w:rPr>
        <w:t xml:space="preserve">Así mismo </w:t>
      </w:r>
      <w:sdt>
        <w:sdtPr>
          <w:rPr>
            <w:rFonts w:cs="Times New Roman"/>
            <w:szCs w:val="24"/>
          </w:rPr>
          <w:id w:val="-1439674005"/>
          <w:citation/>
        </w:sdtPr>
        <w:sdtContent>
          <w:r>
            <w:rPr>
              <w:rFonts w:cs="Times New Roman"/>
              <w:szCs w:val="24"/>
            </w:rPr>
            <w:fldChar w:fldCharType="begin"/>
          </w:r>
          <w:r>
            <w:rPr>
              <w:rFonts w:cs="Times New Roman"/>
              <w:szCs w:val="24"/>
            </w:rPr>
            <w:instrText xml:space="preserve"> CITATION Nik14 \l 11274 </w:instrText>
          </w:r>
          <w:r>
            <w:rPr>
              <w:rFonts w:cs="Times New Roman"/>
              <w:szCs w:val="24"/>
            </w:rPr>
            <w:fldChar w:fldCharType="separate"/>
          </w:r>
          <w:r w:rsidR="00151E33" w:rsidRPr="00151E33">
            <w:rPr>
              <w:rFonts w:cs="Times New Roman"/>
              <w:noProof/>
              <w:szCs w:val="24"/>
            </w:rPr>
            <w:t>(Hatziargyriou, 2014)</w:t>
          </w:r>
          <w:r>
            <w:rPr>
              <w:rFonts w:cs="Times New Roman"/>
              <w:szCs w:val="24"/>
            </w:rPr>
            <w:fldChar w:fldCharType="end"/>
          </w:r>
        </w:sdtContent>
      </w:sdt>
      <w:r w:rsidR="00FB3159">
        <w:rPr>
          <w:rFonts w:cs="Times New Roman"/>
          <w:szCs w:val="24"/>
        </w:rPr>
        <w:t xml:space="preserve"> define un </w:t>
      </w:r>
      <w:r w:rsidR="00FB3159" w:rsidRPr="00FB3159">
        <w:rPr>
          <w:rFonts w:cs="Times New Roman"/>
          <w:szCs w:val="24"/>
        </w:rPr>
        <w:t xml:space="preserve">sistema AMR </w:t>
      </w:r>
      <w:r w:rsidR="00FB3159">
        <w:rPr>
          <w:rFonts w:cs="Times New Roman"/>
          <w:szCs w:val="24"/>
        </w:rPr>
        <w:t xml:space="preserve">como el </w:t>
      </w:r>
      <w:r w:rsidR="00FB3159" w:rsidRPr="00FB3159">
        <w:rPr>
          <w:rFonts w:cs="Times New Roman"/>
          <w:szCs w:val="24"/>
        </w:rPr>
        <w:t xml:space="preserve"> responsable de la</w:t>
      </w:r>
      <w:r w:rsidR="00FB3159">
        <w:rPr>
          <w:rFonts w:cs="Times New Roman"/>
          <w:szCs w:val="24"/>
        </w:rPr>
        <w:t xml:space="preserve"> </w:t>
      </w:r>
      <w:r w:rsidR="00FB3159" w:rsidRPr="00FB3159">
        <w:rPr>
          <w:rFonts w:cs="Times New Roman"/>
          <w:szCs w:val="24"/>
        </w:rPr>
        <w:t xml:space="preserve">recopilación de lecturas de contadores electrónicos y se utiliza principalmente para fines de facturación. </w:t>
      </w:r>
      <w:r w:rsidR="00580B6C">
        <w:rPr>
          <w:rFonts w:cs="Times New Roman"/>
          <w:szCs w:val="24"/>
        </w:rPr>
        <w:t xml:space="preserve">Por AMI, </w:t>
      </w:r>
      <w:r w:rsidR="00580B6C" w:rsidRPr="00580B6C">
        <w:rPr>
          <w:rFonts w:cs="Times New Roman"/>
          <w:szCs w:val="24"/>
        </w:rPr>
        <w:t>nos referimos a la capacidad</w:t>
      </w:r>
      <w:r w:rsidR="00580B6C">
        <w:rPr>
          <w:rFonts w:cs="Times New Roman"/>
          <w:szCs w:val="24"/>
        </w:rPr>
        <w:t xml:space="preserve"> </w:t>
      </w:r>
      <w:r w:rsidR="00580B6C" w:rsidRPr="00580B6C">
        <w:rPr>
          <w:rFonts w:cs="Times New Roman"/>
          <w:szCs w:val="24"/>
        </w:rPr>
        <w:t>de controlar algunas cargas localmente, ya sea directamente a través del medidor o a través de la red de área doméstica, en</w:t>
      </w:r>
      <w:r w:rsidR="00580B6C">
        <w:rPr>
          <w:rFonts w:cs="Times New Roman"/>
          <w:szCs w:val="24"/>
        </w:rPr>
        <w:t xml:space="preserve"> </w:t>
      </w:r>
      <w:r w:rsidR="00580B6C" w:rsidRPr="00580B6C">
        <w:rPr>
          <w:rFonts w:cs="Times New Roman"/>
          <w:szCs w:val="24"/>
        </w:rPr>
        <w:t>cuyo caso el contador electrónico es la puerta de enlace.</w:t>
      </w:r>
      <w:r w:rsidR="00580B6C">
        <w:rPr>
          <w:rFonts w:cs="Times New Roman"/>
          <w:szCs w:val="24"/>
        </w:rPr>
        <w:t xml:space="preserve"> (p.28)</w:t>
      </w:r>
    </w:p>
    <w:p w:rsidR="008A5CB6" w:rsidRDefault="008A5CB6" w:rsidP="008A5CB6">
      <w:pPr>
        <w:ind w:left="1418"/>
        <w:jc w:val="both"/>
        <w:rPr>
          <w:rFonts w:cs="Times New Roman"/>
          <w:szCs w:val="24"/>
        </w:rPr>
      </w:pPr>
      <w:r w:rsidRPr="008A5CB6">
        <w:rPr>
          <w:rFonts w:cs="Times New Roman"/>
          <w:szCs w:val="24"/>
        </w:rPr>
        <w:t xml:space="preserve">DSO es responsable de gestionar y controlar </w:t>
      </w:r>
      <w:r>
        <w:rPr>
          <w:rFonts w:cs="Times New Roman"/>
          <w:szCs w:val="24"/>
        </w:rPr>
        <w:t xml:space="preserve">el </w:t>
      </w:r>
      <w:r w:rsidRPr="008A5CB6">
        <w:rPr>
          <w:rFonts w:cs="Times New Roman"/>
          <w:szCs w:val="24"/>
        </w:rPr>
        <w:t>sistema de distribución y también es responsable de recopilar los datos de medición de energía, aunque en</w:t>
      </w:r>
      <w:r>
        <w:rPr>
          <w:rFonts w:cs="Times New Roman"/>
          <w:szCs w:val="24"/>
        </w:rPr>
        <w:t xml:space="preserve"> l</w:t>
      </w:r>
      <w:r w:rsidRPr="008A5CB6">
        <w:rPr>
          <w:rFonts w:cs="Times New Roman"/>
          <w:szCs w:val="24"/>
        </w:rPr>
        <w:t xml:space="preserve">a lectura de contadores </w:t>
      </w:r>
      <w:r>
        <w:rPr>
          <w:rFonts w:cs="Times New Roman"/>
          <w:szCs w:val="24"/>
        </w:rPr>
        <w:t>en</w:t>
      </w:r>
      <w:r w:rsidRPr="008A5CB6">
        <w:rPr>
          <w:rFonts w:cs="Times New Roman"/>
          <w:szCs w:val="24"/>
        </w:rPr>
        <w:t xml:space="preserve"> algunos países puede ser manejada por una entidad independiente. El DSO envía </w:t>
      </w:r>
      <w:r>
        <w:rPr>
          <w:rFonts w:cs="Times New Roman"/>
          <w:szCs w:val="24"/>
        </w:rPr>
        <w:t xml:space="preserve">la </w:t>
      </w:r>
      <w:r w:rsidRPr="008A5CB6">
        <w:rPr>
          <w:rFonts w:cs="Times New Roman"/>
          <w:szCs w:val="24"/>
        </w:rPr>
        <w:t xml:space="preserve">medición de datos al proveedor / ESCO, que es un actor del mercado y es responsable, entre </w:t>
      </w:r>
      <w:r w:rsidR="0000121E" w:rsidRPr="008A5CB6">
        <w:rPr>
          <w:rFonts w:cs="Times New Roman"/>
          <w:szCs w:val="24"/>
        </w:rPr>
        <w:t>otras cosas</w:t>
      </w:r>
      <w:r w:rsidRPr="008A5CB6">
        <w:rPr>
          <w:rFonts w:cs="Times New Roman"/>
          <w:szCs w:val="24"/>
        </w:rPr>
        <w:t xml:space="preserve"> para la facturación de los clientes.</w:t>
      </w:r>
    </w:p>
    <w:p w:rsidR="00011A81" w:rsidRDefault="00011A81" w:rsidP="00740AAA">
      <w:pPr>
        <w:ind w:left="1418"/>
        <w:jc w:val="both"/>
        <w:rPr>
          <w:rFonts w:cs="Times New Roman"/>
          <w:szCs w:val="24"/>
        </w:rPr>
      </w:pPr>
      <w:r>
        <w:rPr>
          <w:rFonts w:cs="Times New Roman"/>
          <w:szCs w:val="24"/>
        </w:rPr>
        <w:t xml:space="preserve">Controlador de </w:t>
      </w:r>
      <w:r w:rsidR="0000121E">
        <w:rPr>
          <w:rFonts w:cs="Times New Roman"/>
          <w:szCs w:val="24"/>
        </w:rPr>
        <w:t>Micro fuente</w:t>
      </w:r>
      <w:r>
        <w:rPr>
          <w:rFonts w:cs="Times New Roman"/>
          <w:szCs w:val="24"/>
        </w:rPr>
        <w:t xml:space="preserve"> (MC) como el </w:t>
      </w:r>
      <w:r w:rsidRPr="00011A81">
        <w:rPr>
          <w:rFonts w:cs="Times New Roman"/>
          <w:szCs w:val="24"/>
        </w:rPr>
        <w:t xml:space="preserve">responsable de controlar y monitorear recursos energéticos distribuidos, como </w:t>
      </w:r>
      <w:r>
        <w:rPr>
          <w:rFonts w:cs="Times New Roman"/>
          <w:szCs w:val="24"/>
        </w:rPr>
        <w:t>generadores distribuidos (DG)</w:t>
      </w:r>
      <w:r w:rsidRPr="00011A81">
        <w:rPr>
          <w:rFonts w:cs="Times New Roman"/>
          <w:szCs w:val="24"/>
        </w:rPr>
        <w:t xml:space="preserve">, dispositivos de almacenamiento y cargas, incluidos los vehículos. El MC podría ser un dispositivo de hardware independiente o una pieza de software instalada en el contador electrónico, la interfaz </w:t>
      </w:r>
      <w:r w:rsidRPr="00011A81">
        <w:rPr>
          <w:rFonts w:cs="Times New Roman"/>
          <w:szCs w:val="24"/>
        </w:rPr>
        <w:lastRenderedPageBreak/>
        <w:t xml:space="preserve">electrónica de potencia </w:t>
      </w:r>
      <w:r>
        <w:rPr>
          <w:rFonts w:cs="Times New Roman"/>
          <w:szCs w:val="24"/>
        </w:rPr>
        <w:t xml:space="preserve">en el </w:t>
      </w:r>
      <w:r w:rsidRPr="00011A81">
        <w:rPr>
          <w:rFonts w:cs="Times New Roman"/>
          <w:szCs w:val="24"/>
        </w:rPr>
        <w:t>DG o cualquier dispositivo en el campo con suficiente capacidad de procesamiento</w:t>
      </w:r>
      <w:r>
        <w:rPr>
          <w:rFonts w:cs="Times New Roman"/>
          <w:szCs w:val="24"/>
        </w:rPr>
        <w:t>.</w:t>
      </w:r>
      <w:r w:rsidR="007A2131">
        <w:rPr>
          <w:rFonts w:cs="Times New Roman"/>
          <w:szCs w:val="24"/>
        </w:rPr>
        <w:t xml:space="preserve"> (p.30)</w:t>
      </w:r>
    </w:p>
    <w:p w:rsidR="00011A81" w:rsidRDefault="007E7F61" w:rsidP="00740AAA">
      <w:pPr>
        <w:ind w:left="1418"/>
        <w:jc w:val="both"/>
        <w:rPr>
          <w:rFonts w:cs="Times New Roman"/>
          <w:szCs w:val="24"/>
        </w:rPr>
      </w:pPr>
      <w:r>
        <w:rPr>
          <w:rFonts w:cs="Times New Roman"/>
          <w:szCs w:val="24"/>
        </w:rPr>
        <w:t xml:space="preserve">El controlador central de </w:t>
      </w:r>
      <w:r w:rsidR="00E2406C">
        <w:rPr>
          <w:rFonts w:cs="Times New Roman"/>
          <w:szCs w:val="24"/>
        </w:rPr>
        <w:t>microgrid</w:t>
      </w:r>
      <w:r w:rsidR="00011A81" w:rsidRPr="00011A81">
        <w:rPr>
          <w:rFonts w:cs="Times New Roman"/>
          <w:szCs w:val="24"/>
        </w:rPr>
        <w:t xml:space="preserve"> (MGCC) proporciona la in</w:t>
      </w:r>
      <w:r>
        <w:rPr>
          <w:rFonts w:cs="Times New Roman"/>
          <w:szCs w:val="24"/>
        </w:rPr>
        <w:t>terfaz principal entre la micro</w:t>
      </w:r>
      <w:r w:rsidR="00E2406C">
        <w:rPr>
          <w:rFonts w:cs="Times New Roman"/>
          <w:szCs w:val="24"/>
        </w:rPr>
        <w:t>grid</w:t>
      </w:r>
      <w:r w:rsidR="00011A81" w:rsidRPr="00011A81">
        <w:rPr>
          <w:rFonts w:cs="Times New Roman"/>
          <w:szCs w:val="24"/>
        </w:rPr>
        <w:t xml:space="preserve"> y otros actores como el </w:t>
      </w:r>
      <w:r w:rsidR="00011A81">
        <w:rPr>
          <w:rFonts w:cs="Times New Roman"/>
          <w:szCs w:val="24"/>
        </w:rPr>
        <w:t>Operador del Sistema de D</w:t>
      </w:r>
      <w:r>
        <w:rPr>
          <w:rFonts w:cs="Times New Roman"/>
          <w:szCs w:val="24"/>
        </w:rPr>
        <w:t>istribució</w:t>
      </w:r>
      <w:r w:rsidR="00011A81">
        <w:rPr>
          <w:rFonts w:cs="Times New Roman"/>
          <w:szCs w:val="24"/>
        </w:rPr>
        <w:t>n (D</w:t>
      </w:r>
      <w:r w:rsidR="008A5CB6">
        <w:rPr>
          <w:rFonts w:cs="Times New Roman"/>
          <w:szCs w:val="24"/>
        </w:rPr>
        <w:t>SO</w:t>
      </w:r>
      <w:r w:rsidR="00011A81">
        <w:rPr>
          <w:rFonts w:cs="Times New Roman"/>
          <w:szCs w:val="24"/>
        </w:rPr>
        <w:t>)</w:t>
      </w:r>
      <w:r w:rsidR="00011A81" w:rsidRPr="00011A81">
        <w:rPr>
          <w:rFonts w:cs="Times New Roman"/>
          <w:szCs w:val="24"/>
        </w:rPr>
        <w:t xml:space="preserve"> o la </w:t>
      </w:r>
      <w:r>
        <w:rPr>
          <w:rFonts w:cs="Times New Roman"/>
          <w:szCs w:val="24"/>
        </w:rPr>
        <w:t>Compañía de Servicio de Energía (</w:t>
      </w:r>
      <w:r w:rsidR="00011A81" w:rsidRPr="00011A81">
        <w:rPr>
          <w:rFonts w:cs="Times New Roman"/>
          <w:szCs w:val="24"/>
        </w:rPr>
        <w:t>ESCO</w:t>
      </w:r>
      <w:r>
        <w:rPr>
          <w:rFonts w:cs="Times New Roman"/>
          <w:szCs w:val="24"/>
        </w:rPr>
        <w:t>)</w:t>
      </w:r>
      <w:r w:rsidR="00011A81" w:rsidRPr="00011A81">
        <w:rPr>
          <w:rFonts w:cs="Times New Roman"/>
          <w:szCs w:val="24"/>
        </w:rPr>
        <w:t>, pudiendo asumir diferentes roles, que van desde la responsabilidad principal de la maximización del valor de la micro</w:t>
      </w:r>
      <w:r w:rsidR="00E2406C">
        <w:rPr>
          <w:rFonts w:cs="Times New Roman"/>
          <w:szCs w:val="24"/>
        </w:rPr>
        <w:t>grid</w:t>
      </w:r>
      <w:r w:rsidR="00011A81" w:rsidRPr="00011A81">
        <w:rPr>
          <w:rFonts w:cs="Times New Roman"/>
          <w:szCs w:val="24"/>
        </w:rPr>
        <w:t xml:space="preserve"> hasta la simple coordinación de los MC locales. Puede proporcionar puntos de ajuste para los MC o simplemente monitorear o supervisar su funcionamiento. Está alojado en la subestación </w:t>
      </w:r>
      <w:r>
        <w:rPr>
          <w:rFonts w:cs="Times New Roman"/>
          <w:szCs w:val="24"/>
        </w:rPr>
        <w:t>media o baja tensión</w:t>
      </w:r>
      <w:r w:rsidR="00011A81" w:rsidRPr="00011A81">
        <w:rPr>
          <w:rFonts w:cs="Times New Roman"/>
          <w:szCs w:val="24"/>
        </w:rPr>
        <w:t xml:space="preserve"> y comprende un conjunto de</w:t>
      </w:r>
      <w:r>
        <w:rPr>
          <w:rFonts w:cs="Times New Roman"/>
          <w:szCs w:val="24"/>
        </w:rPr>
        <w:t xml:space="preserve"> r</w:t>
      </w:r>
      <w:r w:rsidR="00011A81" w:rsidRPr="00011A81">
        <w:rPr>
          <w:rFonts w:cs="Times New Roman"/>
          <w:szCs w:val="24"/>
        </w:rPr>
        <w:t>utinas de software de diversas funcionalidades en función de su función.</w:t>
      </w:r>
      <w:r w:rsidR="007A2131">
        <w:rPr>
          <w:rFonts w:cs="Times New Roman"/>
          <w:szCs w:val="24"/>
        </w:rPr>
        <w:t xml:space="preserve"> (p.30)</w:t>
      </w:r>
    </w:p>
    <w:p w:rsidR="008A5CB6" w:rsidRDefault="008A5CB6" w:rsidP="008A5CB6">
      <w:pPr>
        <w:keepNext/>
        <w:ind w:left="1418"/>
        <w:jc w:val="both"/>
      </w:pPr>
      <w:r w:rsidRPr="008A5CB6">
        <w:rPr>
          <w:rFonts w:cs="Times New Roman"/>
          <w:noProof/>
          <w:szCs w:val="24"/>
          <w:lang w:eastAsia="es-AR"/>
        </w:rPr>
        <w:drawing>
          <wp:inline distT="0" distB="0" distL="0" distR="0" wp14:anchorId="7B4DDE4E" wp14:editId="755656D6">
            <wp:extent cx="5400040" cy="404177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0040" cy="4041777"/>
                    </a:xfrm>
                    <a:prstGeom prst="rect">
                      <a:avLst/>
                    </a:prstGeom>
                    <a:noFill/>
                    <a:ln>
                      <a:noFill/>
                    </a:ln>
                  </pic:spPr>
                </pic:pic>
              </a:graphicData>
            </a:graphic>
          </wp:inline>
        </w:drawing>
      </w:r>
    </w:p>
    <w:p w:rsidR="008A5CB6" w:rsidRPr="00A35EC7" w:rsidRDefault="008A5CB6" w:rsidP="00A35EC7">
      <w:pPr>
        <w:pStyle w:val="Caption"/>
        <w:ind w:left="1418"/>
        <w:jc w:val="both"/>
        <w:rPr>
          <w:rFonts w:cs="Times New Roman"/>
          <w:i w:val="0"/>
          <w:color w:val="auto"/>
          <w:sz w:val="24"/>
          <w:szCs w:val="24"/>
        </w:rPr>
      </w:pPr>
      <w:r w:rsidRPr="00A35EC7">
        <w:rPr>
          <w:i w:val="0"/>
          <w:color w:val="auto"/>
          <w:sz w:val="24"/>
          <w:szCs w:val="24"/>
        </w:rPr>
        <w:t xml:space="preserve">Ilustración </w:t>
      </w:r>
      <w:r w:rsidR="0041332E">
        <w:rPr>
          <w:i w:val="0"/>
          <w:color w:val="auto"/>
          <w:sz w:val="24"/>
          <w:szCs w:val="24"/>
        </w:rPr>
        <w:fldChar w:fldCharType="begin"/>
      </w:r>
      <w:r w:rsidR="0041332E">
        <w:rPr>
          <w:i w:val="0"/>
          <w:color w:val="auto"/>
          <w:sz w:val="24"/>
          <w:szCs w:val="24"/>
        </w:rPr>
        <w:instrText xml:space="preserve"> SEQ Ilustración \* ARABIC </w:instrText>
      </w:r>
      <w:r w:rsidR="0041332E">
        <w:rPr>
          <w:i w:val="0"/>
          <w:color w:val="auto"/>
          <w:sz w:val="24"/>
          <w:szCs w:val="24"/>
        </w:rPr>
        <w:fldChar w:fldCharType="separate"/>
      </w:r>
      <w:r w:rsidR="007A5F5A">
        <w:rPr>
          <w:i w:val="0"/>
          <w:noProof/>
          <w:color w:val="auto"/>
          <w:sz w:val="24"/>
          <w:szCs w:val="24"/>
        </w:rPr>
        <w:t>1</w:t>
      </w:r>
      <w:r w:rsidR="0041332E">
        <w:rPr>
          <w:i w:val="0"/>
          <w:color w:val="auto"/>
          <w:sz w:val="24"/>
          <w:szCs w:val="24"/>
        </w:rPr>
        <w:fldChar w:fldCharType="end"/>
      </w:r>
      <w:r w:rsidRPr="00A35EC7">
        <w:rPr>
          <w:i w:val="0"/>
          <w:color w:val="auto"/>
          <w:sz w:val="24"/>
          <w:szCs w:val="24"/>
        </w:rPr>
        <w:t xml:space="preserve">. </w:t>
      </w:r>
      <w:sdt>
        <w:sdtPr>
          <w:rPr>
            <w:i w:val="0"/>
            <w:color w:val="auto"/>
            <w:sz w:val="24"/>
            <w:szCs w:val="24"/>
          </w:rPr>
          <w:id w:val="751859222"/>
          <w:citation/>
        </w:sdtPr>
        <w:sdtContent>
          <w:r w:rsidR="00A35EC7" w:rsidRPr="00A35EC7">
            <w:rPr>
              <w:i w:val="0"/>
              <w:color w:val="auto"/>
              <w:sz w:val="24"/>
              <w:szCs w:val="24"/>
            </w:rPr>
            <w:fldChar w:fldCharType="begin"/>
          </w:r>
          <w:r w:rsidR="00A35EC7" w:rsidRPr="00A35EC7">
            <w:rPr>
              <w:i w:val="0"/>
              <w:color w:val="auto"/>
              <w:sz w:val="24"/>
              <w:szCs w:val="24"/>
            </w:rPr>
            <w:instrText xml:space="preserve"> CITATION Nik14 \l 11274 </w:instrText>
          </w:r>
          <w:r w:rsidR="00A35EC7" w:rsidRPr="00A35EC7">
            <w:rPr>
              <w:i w:val="0"/>
              <w:color w:val="auto"/>
              <w:sz w:val="24"/>
              <w:szCs w:val="24"/>
            </w:rPr>
            <w:fldChar w:fldCharType="separate"/>
          </w:r>
          <w:r w:rsidR="00151E33" w:rsidRPr="00151E33">
            <w:rPr>
              <w:noProof/>
              <w:color w:val="auto"/>
              <w:sz w:val="24"/>
              <w:szCs w:val="24"/>
            </w:rPr>
            <w:t>(Hatziargyriou, 2014)</w:t>
          </w:r>
          <w:r w:rsidR="00A35EC7" w:rsidRPr="00A35EC7">
            <w:rPr>
              <w:i w:val="0"/>
              <w:color w:val="auto"/>
              <w:sz w:val="24"/>
              <w:szCs w:val="24"/>
            </w:rPr>
            <w:fldChar w:fldCharType="end"/>
          </w:r>
        </w:sdtContent>
      </w:sdt>
      <w:r w:rsidR="00A35EC7" w:rsidRPr="00A35EC7">
        <w:rPr>
          <w:i w:val="0"/>
          <w:color w:val="auto"/>
          <w:sz w:val="24"/>
          <w:szCs w:val="24"/>
        </w:rPr>
        <w:t xml:space="preserve"> </w:t>
      </w:r>
      <w:r w:rsidR="00A35EC7">
        <w:rPr>
          <w:i w:val="0"/>
          <w:color w:val="auto"/>
          <w:sz w:val="24"/>
          <w:szCs w:val="24"/>
        </w:rPr>
        <w:t xml:space="preserve">(p.30). </w:t>
      </w:r>
      <w:r w:rsidRPr="00A35EC7">
        <w:rPr>
          <w:i w:val="0"/>
          <w:color w:val="auto"/>
          <w:sz w:val="24"/>
          <w:szCs w:val="24"/>
        </w:rPr>
        <w:t>Figura 2.4. Estructura t</w:t>
      </w:r>
      <w:r w:rsidR="00A35EC7">
        <w:rPr>
          <w:i w:val="0"/>
          <w:color w:val="auto"/>
          <w:sz w:val="24"/>
          <w:szCs w:val="24"/>
        </w:rPr>
        <w:t>í</w:t>
      </w:r>
      <w:r w:rsidRPr="00A35EC7">
        <w:rPr>
          <w:i w:val="0"/>
          <w:color w:val="auto"/>
          <w:sz w:val="24"/>
          <w:szCs w:val="24"/>
        </w:rPr>
        <w:t>p</w:t>
      </w:r>
      <w:r w:rsidR="00A35EC7">
        <w:rPr>
          <w:i w:val="0"/>
          <w:color w:val="auto"/>
          <w:sz w:val="24"/>
          <w:szCs w:val="24"/>
        </w:rPr>
        <w:t>i</w:t>
      </w:r>
      <w:r w:rsidRPr="00A35EC7">
        <w:rPr>
          <w:i w:val="0"/>
          <w:color w:val="auto"/>
          <w:sz w:val="24"/>
          <w:szCs w:val="24"/>
        </w:rPr>
        <w:t>ca de la administraci</w:t>
      </w:r>
      <w:r w:rsidR="00A35EC7">
        <w:rPr>
          <w:i w:val="0"/>
          <w:color w:val="auto"/>
          <w:sz w:val="24"/>
          <w:szCs w:val="24"/>
        </w:rPr>
        <w:t>ó</w:t>
      </w:r>
      <w:r w:rsidRPr="00A35EC7">
        <w:rPr>
          <w:i w:val="0"/>
          <w:color w:val="auto"/>
          <w:sz w:val="24"/>
          <w:szCs w:val="24"/>
        </w:rPr>
        <w:t>n de una microgrid.</w:t>
      </w:r>
    </w:p>
    <w:p w:rsidR="007A2131" w:rsidRDefault="007A2131" w:rsidP="00740AAA">
      <w:pPr>
        <w:ind w:left="1418"/>
        <w:jc w:val="both"/>
        <w:rPr>
          <w:rFonts w:cs="Times New Roman"/>
          <w:szCs w:val="24"/>
        </w:rPr>
      </w:pPr>
      <w:r w:rsidRPr="007A2131">
        <w:rPr>
          <w:rFonts w:cs="Times New Roman"/>
          <w:szCs w:val="24"/>
        </w:rPr>
        <w:t xml:space="preserve">El sistema de gestión de distribución (DMS) es responsable entre otros por la colaboración entre el </w:t>
      </w:r>
      <w:r>
        <w:rPr>
          <w:rFonts w:cs="Times New Roman"/>
          <w:szCs w:val="24"/>
        </w:rPr>
        <w:t>Operador del Sistema de Distribución (</w:t>
      </w:r>
      <w:r w:rsidRPr="007A2131">
        <w:rPr>
          <w:rFonts w:cs="Times New Roman"/>
          <w:szCs w:val="24"/>
        </w:rPr>
        <w:t>DSO</w:t>
      </w:r>
      <w:r>
        <w:rPr>
          <w:rFonts w:cs="Times New Roman"/>
          <w:szCs w:val="24"/>
        </w:rPr>
        <w:t>)</w:t>
      </w:r>
      <w:r w:rsidRPr="007A2131">
        <w:rPr>
          <w:rFonts w:cs="Times New Roman"/>
          <w:szCs w:val="24"/>
        </w:rPr>
        <w:t>, la</w:t>
      </w:r>
      <w:r>
        <w:rPr>
          <w:rFonts w:cs="Times New Roman"/>
          <w:szCs w:val="24"/>
        </w:rPr>
        <w:t xml:space="preserve"> Compañía de Servicio de Energía</w:t>
      </w:r>
      <w:r w:rsidRPr="007A2131">
        <w:rPr>
          <w:rFonts w:cs="Times New Roman"/>
          <w:szCs w:val="24"/>
        </w:rPr>
        <w:t xml:space="preserve"> </w:t>
      </w:r>
      <w:r w:rsidR="00AA5D64">
        <w:rPr>
          <w:rFonts w:cs="Times New Roman"/>
          <w:szCs w:val="24"/>
        </w:rPr>
        <w:t>(</w:t>
      </w:r>
      <w:r w:rsidRPr="007A2131">
        <w:rPr>
          <w:rFonts w:cs="Times New Roman"/>
          <w:szCs w:val="24"/>
        </w:rPr>
        <w:t>ESCO</w:t>
      </w:r>
      <w:r w:rsidR="00AA5D64">
        <w:rPr>
          <w:rFonts w:cs="Times New Roman"/>
          <w:szCs w:val="24"/>
        </w:rPr>
        <w:t>)</w:t>
      </w:r>
      <w:r w:rsidRPr="007A2131">
        <w:rPr>
          <w:rFonts w:cs="Times New Roman"/>
          <w:szCs w:val="24"/>
        </w:rPr>
        <w:t xml:space="preserve"> y el operador de la micro</w:t>
      </w:r>
      <w:r>
        <w:rPr>
          <w:rFonts w:cs="Times New Roman"/>
          <w:szCs w:val="24"/>
        </w:rPr>
        <w:t>gri</w:t>
      </w:r>
      <w:r w:rsidRPr="007A2131">
        <w:rPr>
          <w:rFonts w:cs="Times New Roman"/>
          <w:szCs w:val="24"/>
        </w:rPr>
        <w:t xml:space="preserve">d. </w:t>
      </w:r>
      <w:r w:rsidRPr="007A2131">
        <w:rPr>
          <w:rFonts w:cs="Times New Roman"/>
          <w:szCs w:val="24"/>
        </w:rPr>
        <w:lastRenderedPageBreak/>
        <w:t>Se asume la existencia de un sistema troncal, una plataforma, basada en una arquitectura orientada a servicios para la integración de sus funcionalidades. En algunos casos, el software MGCC se puede integrar en esta plataforma.</w:t>
      </w:r>
      <w:r>
        <w:rPr>
          <w:rFonts w:cs="Times New Roman"/>
          <w:szCs w:val="24"/>
        </w:rPr>
        <w:t xml:space="preserve"> (p.30)</w:t>
      </w:r>
    </w:p>
    <w:p w:rsidR="00C60945" w:rsidRDefault="00C60945" w:rsidP="00C60945">
      <w:pPr>
        <w:ind w:left="1418"/>
        <w:jc w:val="both"/>
        <w:rPr>
          <w:rFonts w:cs="Times New Roman"/>
          <w:szCs w:val="24"/>
        </w:rPr>
      </w:pPr>
      <w:r>
        <w:rPr>
          <w:rFonts w:cs="Times New Roman"/>
          <w:szCs w:val="24"/>
        </w:rPr>
        <w:t xml:space="preserve">En un enfoque centralizado según </w:t>
      </w:r>
      <w:sdt>
        <w:sdtPr>
          <w:rPr>
            <w:rFonts w:cs="Times New Roman"/>
            <w:szCs w:val="24"/>
          </w:rPr>
          <w:id w:val="417604293"/>
          <w:citation/>
        </w:sdtPr>
        <w:sdtContent>
          <w:r>
            <w:rPr>
              <w:rFonts w:cs="Times New Roman"/>
              <w:szCs w:val="24"/>
            </w:rPr>
            <w:fldChar w:fldCharType="begin"/>
          </w:r>
          <w:r>
            <w:rPr>
              <w:rFonts w:cs="Times New Roman"/>
              <w:szCs w:val="24"/>
            </w:rPr>
            <w:instrText xml:space="preserve"> CITATION Nik14 \l 11274 </w:instrText>
          </w:r>
          <w:r>
            <w:rPr>
              <w:rFonts w:cs="Times New Roman"/>
              <w:szCs w:val="24"/>
            </w:rPr>
            <w:fldChar w:fldCharType="separate"/>
          </w:r>
          <w:r w:rsidR="00151E33" w:rsidRPr="00151E33">
            <w:rPr>
              <w:rFonts w:cs="Times New Roman"/>
              <w:noProof/>
              <w:szCs w:val="24"/>
            </w:rPr>
            <w:t>(Hatziargyriou, 2014)</w:t>
          </w:r>
          <w:r>
            <w:rPr>
              <w:rFonts w:cs="Times New Roman"/>
              <w:szCs w:val="24"/>
            </w:rPr>
            <w:fldChar w:fldCharType="end"/>
          </w:r>
        </w:sdtContent>
      </w:sdt>
      <w:r>
        <w:rPr>
          <w:rFonts w:cs="Times New Roman"/>
          <w:szCs w:val="24"/>
        </w:rPr>
        <w:t xml:space="preserve">, </w:t>
      </w:r>
      <w:r w:rsidRPr="00C60945">
        <w:rPr>
          <w:rFonts w:cs="Times New Roman"/>
          <w:szCs w:val="24"/>
        </w:rPr>
        <w:t xml:space="preserve">la principal responsabilidad </w:t>
      </w:r>
      <w:r>
        <w:rPr>
          <w:rFonts w:cs="Times New Roman"/>
          <w:szCs w:val="24"/>
        </w:rPr>
        <w:t>es</w:t>
      </w:r>
      <w:r w:rsidRPr="00C60945">
        <w:rPr>
          <w:rFonts w:cs="Times New Roman"/>
          <w:szCs w:val="24"/>
        </w:rPr>
        <w:t xml:space="preserve"> la maximización del valor de la micro</w:t>
      </w:r>
      <w:r>
        <w:rPr>
          <w:rFonts w:cs="Times New Roman"/>
          <w:szCs w:val="24"/>
        </w:rPr>
        <w:t>grid y l</w:t>
      </w:r>
      <w:r w:rsidRPr="00C60945">
        <w:rPr>
          <w:rFonts w:cs="Times New Roman"/>
          <w:szCs w:val="24"/>
        </w:rPr>
        <w:t>a optimización de su funcionamiento recae en el MGCC. El MGCC utilizando precios de mercado de</w:t>
      </w:r>
      <w:r>
        <w:rPr>
          <w:rFonts w:cs="Times New Roman"/>
          <w:szCs w:val="24"/>
        </w:rPr>
        <w:t xml:space="preserve"> </w:t>
      </w:r>
      <w:r w:rsidRPr="00C60945">
        <w:rPr>
          <w:rFonts w:cs="Times New Roman"/>
          <w:szCs w:val="24"/>
        </w:rPr>
        <w:t>costos de electricidad y gas, y basados ​​en preocupaciones de seguridad de la red y solicitudes de servicios auxiliares</w:t>
      </w:r>
      <w:r>
        <w:rPr>
          <w:rFonts w:cs="Times New Roman"/>
          <w:szCs w:val="24"/>
        </w:rPr>
        <w:t xml:space="preserve"> </w:t>
      </w:r>
      <w:r w:rsidRPr="00C60945">
        <w:rPr>
          <w:rFonts w:cs="Times New Roman"/>
          <w:szCs w:val="24"/>
        </w:rPr>
        <w:t xml:space="preserve">por el DSO, determina la cantidad de energía que la </w:t>
      </w:r>
      <w:r w:rsidR="0000121E" w:rsidRPr="00C60945">
        <w:rPr>
          <w:rFonts w:cs="Times New Roman"/>
          <w:szCs w:val="24"/>
        </w:rPr>
        <w:t>microgrid</w:t>
      </w:r>
      <w:r w:rsidRPr="00C60945">
        <w:rPr>
          <w:rFonts w:cs="Times New Roman"/>
          <w:szCs w:val="24"/>
        </w:rPr>
        <w:t xml:space="preserve"> debe importar </w:t>
      </w:r>
      <w:r>
        <w:rPr>
          <w:rFonts w:cs="Times New Roman"/>
          <w:szCs w:val="24"/>
        </w:rPr>
        <w:t xml:space="preserve">aguas arriba </w:t>
      </w:r>
      <w:r w:rsidRPr="00C60945">
        <w:rPr>
          <w:rFonts w:cs="Times New Roman"/>
          <w:szCs w:val="24"/>
        </w:rPr>
        <w:t>desde el</w:t>
      </w:r>
      <w:r>
        <w:rPr>
          <w:rFonts w:cs="Times New Roman"/>
          <w:szCs w:val="24"/>
        </w:rPr>
        <w:t xml:space="preserve"> </w:t>
      </w:r>
      <w:r w:rsidRPr="00C60945">
        <w:rPr>
          <w:rFonts w:cs="Times New Roman"/>
          <w:szCs w:val="24"/>
        </w:rPr>
        <w:t>sistema de distribución, optimizando las capacidades de producc</w:t>
      </w:r>
      <w:r w:rsidR="00AA5D64">
        <w:rPr>
          <w:rFonts w:cs="Times New Roman"/>
          <w:szCs w:val="24"/>
        </w:rPr>
        <w:t xml:space="preserve">ión o consumo local. </w:t>
      </w:r>
      <w:r w:rsidRPr="00C60945">
        <w:rPr>
          <w:rFonts w:cs="Times New Roman"/>
          <w:szCs w:val="24"/>
        </w:rPr>
        <w:t>El escenario operativo optimizado definido se realiza controlando las micro fuentes y</w:t>
      </w:r>
      <w:r w:rsidR="00AA5D64">
        <w:rPr>
          <w:rFonts w:cs="Times New Roman"/>
          <w:szCs w:val="24"/>
        </w:rPr>
        <w:t xml:space="preserve"> </w:t>
      </w:r>
      <w:r w:rsidRPr="00C60945">
        <w:rPr>
          <w:rFonts w:cs="Times New Roman"/>
          <w:szCs w:val="24"/>
        </w:rPr>
        <w:t xml:space="preserve">cargas controlables dentro de la </w:t>
      </w:r>
      <w:r w:rsidR="0000121E" w:rsidRPr="00C60945">
        <w:rPr>
          <w:rFonts w:cs="Times New Roman"/>
          <w:szCs w:val="24"/>
        </w:rPr>
        <w:t>microgrid</w:t>
      </w:r>
      <w:r w:rsidRPr="00C60945">
        <w:rPr>
          <w:rFonts w:cs="Times New Roman"/>
          <w:szCs w:val="24"/>
        </w:rPr>
        <w:t xml:space="preserve"> mediante el envío de seña</w:t>
      </w:r>
      <w:r w:rsidR="00AA5D64">
        <w:rPr>
          <w:rFonts w:cs="Times New Roman"/>
          <w:szCs w:val="24"/>
        </w:rPr>
        <w:t>les de control al campo. En este marco, l</w:t>
      </w:r>
      <w:r w:rsidRPr="00C60945">
        <w:rPr>
          <w:rFonts w:cs="Times New Roman"/>
          <w:szCs w:val="24"/>
        </w:rPr>
        <w:t>as cargas flexibles, no críticas y de estructura pueden eliminarse cuando sea rentable. Además, es</w:t>
      </w:r>
      <w:r w:rsidR="00AA5D64">
        <w:rPr>
          <w:rFonts w:cs="Times New Roman"/>
          <w:szCs w:val="24"/>
        </w:rPr>
        <w:t xml:space="preserve"> </w:t>
      </w:r>
      <w:r w:rsidRPr="00C60945">
        <w:rPr>
          <w:rFonts w:cs="Times New Roman"/>
          <w:szCs w:val="24"/>
        </w:rPr>
        <w:t>necesario para controlar la potencia activa y reactiva real de los componentes.</w:t>
      </w:r>
      <w:r w:rsidR="00AA5D64">
        <w:rPr>
          <w:rFonts w:cs="Times New Roman"/>
          <w:szCs w:val="24"/>
        </w:rPr>
        <w:t xml:space="preserve"> (p.32)</w:t>
      </w:r>
    </w:p>
    <w:p w:rsidR="00740AAA" w:rsidRDefault="0049333F" w:rsidP="00C60945">
      <w:pPr>
        <w:ind w:left="1418"/>
        <w:jc w:val="both"/>
        <w:rPr>
          <w:rFonts w:cs="Times New Roman"/>
          <w:szCs w:val="24"/>
        </w:rPr>
      </w:pPr>
      <w:r>
        <w:rPr>
          <w:rFonts w:cs="Times New Roman"/>
          <w:szCs w:val="24"/>
        </w:rPr>
        <w:t>Se</w:t>
      </w:r>
      <w:r w:rsidR="00C60945" w:rsidRPr="00C60945">
        <w:rPr>
          <w:rFonts w:cs="Times New Roman"/>
          <w:szCs w:val="24"/>
        </w:rPr>
        <w:t xml:space="preserve"> requieren pronósticos de la electricidad</w:t>
      </w:r>
      <w:r w:rsidR="00C60945">
        <w:rPr>
          <w:rFonts w:cs="Times New Roman"/>
          <w:szCs w:val="24"/>
        </w:rPr>
        <w:t xml:space="preserve"> d</w:t>
      </w:r>
      <w:r w:rsidR="00C60945" w:rsidRPr="00C60945">
        <w:rPr>
          <w:rFonts w:cs="Times New Roman"/>
          <w:szCs w:val="24"/>
        </w:rPr>
        <w:t>emanda</w:t>
      </w:r>
      <w:r>
        <w:rPr>
          <w:rFonts w:cs="Times New Roman"/>
          <w:szCs w:val="24"/>
        </w:rPr>
        <w:t>da</w:t>
      </w:r>
      <w:r w:rsidR="00C60945" w:rsidRPr="00C60945">
        <w:rPr>
          <w:rFonts w:cs="Times New Roman"/>
          <w:szCs w:val="24"/>
        </w:rPr>
        <w:t>, de</w:t>
      </w:r>
      <w:r>
        <w:rPr>
          <w:rFonts w:cs="Times New Roman"/>
          <w:szCs w:val="24"/>
        </w:rPr>
        <w:t>l</w:t>
      </w:r>
      <w:r w:rsidR="00C60945" w:rsidRPr="00C60945">
        <w:rPr>
          <w:rFonts w:cs="Times New Roman"/>
          <w:szCs w:val="24"/>
        </w:rPr>
        <w:t xml:space="preserve"> calor, </w:t>
      </w:r>
      <w:r>
        <w:rPr>
          <w:rFonts w:cs="Times New Roman"/>
          <w:szCs w:val="24"/>
        </w:rPr>
        <w:t xml:space="preserve">de la </w:t>
      </w:r>
      <w:r w:rsidR="00C60945" w:rsidRPr="00C60945">
        <w:rPr>
          <w:rFonts w:cs="Times New Roman"/>
          <w:szCs w:val="24"/>
        </w:rPr>
        <w:t>generación a partir de fuentes de energía renovables y electricidad externa</w:t>
      </w:r>
      <w:r w:rsidR="00C60945">
        <w:rPr>
          <w:rFonts w:cs="Times New Roman"/>
          <w:szCs w:val="24"/>
        </w:rPr>
        <w:t xml:space="preserve"> </w:t>
      </w:r>
      <w:r w:rsidR="00C60945" w:rsidRPr="00C60945">
        <w:rPr>
          <w:rFonts w:cs="Times New Roman"/>
          <w:szCs w:val="24"/>
        </w:rPr>
        <w:t>precios, para las próximas horas, como se muestra en la Fig</w:t>
      </w:r>
      <w:r>
        <w:rPr>
          <w:rFonts w:cs="Times New Roman"/>
          <w:szCs w:val="24"/>
        </w:rPr>
        <w:t xml:space="preserve">ura 2.8. Pronosticando </w:t>
      </w:r>
      <w:r w:rsidR="00C60945">
        <w:rPr>
          <w:rFonts w:cs="Times New Roman"/>
          <w:szCs w:val="24"/>
        </w:rPr>
        <w:t>l</w:t>
      </w:r>
      <w:r w:rsidR="00C60945" w:rsidRPr="00C60945">
        <w:rPr>
          <w:rFonts w:cs="Times New Roman"/>
          <w:szCs w:val="24"/>
        </w:rPr>
        <w:t>a evolución de estas cantidades nos permite afrontar situaciones inse</w:t>
      </w:r>
      <w:r w:rsidR="00C60945">
        <w:rPr>
          <w:rFonts w:cs="Times New Roman"/>
          <w:szCs w:val="24"/>
        </w:rPr>
        <w:t xml:space="preserve">guras y optimizar la producción </w:t>
      </w:r>
      <w:r w:rsidR="00C60945" w:rsidRPr="00C60945">
        <w:rPr>
          <w:rFonts w:cs="Times New Roman"/>
          <w:szCs w:val="24"/>
        </w:rPr>
        <w:t>costos y en general para maximizar los ingresos del proceso de p</w:t>
      </w:r>
      <w:r>
        <w:rPr>
          <w:rFonts w:cs="Times New Roman"/>
          <w:szCs w:val="24"/>
        </w:rPr>
        <w:t>roducción en el mercado</w:t>
      </w:r>
      <w:r w:rsidR="00C60945" w:rsidRPr="00C60945">
        <w:rPr>
          <w:rFonts w:cs="Times New Roman"/>
          <w:szCs w:val="24"/>
        </w:rPr>
        <w:t>.</w:t>
      </w:r>
      <w:r w:rsidR="00C60945">
        <w:rPr>
          <w:rFonts w:cs="Times New Roman"/>
          <w:szCs w:val="24"/>
        </w:rPr>
        <w:t xml:space="preserve"> (p.35)</w:t>
      </w:r>
    </w:p>
    <w:p w:rsidR="003D5176" w:rsidRDefault="0049333F" w:rsidP="003D5176">
      <w:pPr>
        <w:keepNext/>
        <w:ind w:left="1418"/>
        <w:jc w:val="both"/>
      </w:pPr>
      <w:r w:rsidRPr="0049333F">
        <w:rPr>
          <w:rFonts w:cs="Times New Roman"/>
          <w:noProof/>
          <w:szCs w:val="24"/>
          <w:lang w:eastAsia="es-AR"/>
        </w:rPr>
        <w:lastRenderedPageBreak/>
        <w:drawing>
          <wp:inline distT="0" distB="0" distL="0" distR="0" wp14:anchorId="40FBA198" wp14:editId="10730EB3">
            <wp:extent cx="4514850" cy="2943383"/>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22164" cy="2948151"/>
                    </a:xfrm>
                    <a:prstGeom prst="rect">
                      <a:avLst/>
                    </a:prstGeom>
                    <a:noFill/>
                    <a:ln>
                      <a:noFill/>
                    </a:ln>
                  </pic:spPr>
                </pic:pic>
              </a:graphicData>
            </a:graphic>
          </wp:inline>
        </w:drawing>
      </w:r>
    </w:p>
    <w:p w:rsidR="0049333F" w:rsidRPr="003D5176" w:rsidRDefault="003D5176" w:rsidP="001603AE">
      <w:pPr>
        <w:pStyle w:val="Caption"/>
        <w:ind w:left="709"/>
        <w:jc w:val="both"/>
        <w:rPr>
          <w:i w:val="0"/>
          <w:color w:val="auto"/>
          <w:sz w:val="24"/>
          <w:szCs w:val="24"/>
        </w:rPr>
      </w:pPr>
      <w:r w:rsidRPr="003D5176">
        <w:rPr>
          <w:i w:val="0"/>
          <w:color w:val="auto"/>
          <w:sz w:val="24"/>
          <w:szCs w:val="24"/>
        </w:rPr>
        <w:t xml:space="preserve">Ilustración </w:t>
      </w:r>
      <w:r w:rsidR="0041332E">
        <w:rPr>
          <w:i w:val="0"/>
          <w:color w:val="auto"/>
          <w:sz w:val="24"/>
          <w:szCs w:val="24"/>
        </w:rPr>
        <w:fldChar w:fldCharType="begin"/>
      </w:r>
      <w:r w:rsidR="0041332E">
        <w:rPr>
          <w:i w:val="0"/>
          <w:color w:val="auto"/>
          <w:sz w:val="24"/>
          <w:szCs w:val="24"/>
        </w:rPr>
        <w:instrText xml:space="preserve"> SEQ Ilustración \* ARABIC </w:instrText>
      </w:r>
      <w:r w:rsidR="0041332E">
        <w:rPr>
          <w:i w:val="0"/>
          <w:color w:val="auto"/>
          <w:sz w:val="24"/>
          <w:szCs w:val="24"/>
        </w:rPr>
        <w:fldChar w:fldCharType="separate"/>
      </w:r>
      <w:r w:rsidR="007A5F5A">
        <w:rPr>
          <w:i w:val="0"/>
          <w:noProof/>
          <w:color w:val="auto"/>
          <w:sz w:val="24"/>
          <w:szCs w:val="24"/>
        </w:rPr>
        <w:t>2</w:t>
      </w:r>
      <w:r w:rsidR="0041332E">
        <w:rPr>
          <w:i w:val="0"/>
          <w:color w:val="auto"/>
          <w:sz w:val="24"/>
          <w:szCs w:val="24"/>
        </w:rPr>
        <w:fldChar w:fldCharType="end"/>
      </w:r>
      <w:r w:rsidRPr="003D5176">
        <w:rPr>
          <w:i w:val="0"/>
          <w:color w:val="auto"/>
          <w:sz w:val="24"/>
          <w:szCs w:val="24"/>
        </w:rPr>
        <w:t>.  (Hatziargyriou, 2014</w:t>
      </w:r>
      <w:r w:rsidR="0000121E">
        <w:rPr>
          <w:i w:val="0"/>
          <w:color w:val="auto"/>
          <w:sz w:val="24"/>
          <w:szCs w:val="24"/>
        </w:rPr>
        <w:t>, p.33</w:t>
      </w:r>
      <w:r w:rsidRPr="003D5176">
        <w:rPr>
          <w:i w:val="0"/>
          <w:color w:val="auto"/>
          <w:sz w:val="24"/>
          <w:szCs w:val="24"/>
        </w:rPr>
        <w:t>), Figura 2.8. Principios de control centralizado.</w:t>
      </w:r>
      <w:bookmarkStart w:id="0" w:name="_GoBack"/>
      <w:bookmarkEnd w:id="0"/>
    </w:p>
    <w:p w:rsidR="002739FC" w:rsidRPr="002739FC" w:rsidRDefault="002739FC" w:rsidP="002739FC">
      <w:pPr>
        <w:ind w:left="709"/>
        <w:rPr>
          <w:rFonts w:cs="Times New Roman"/>
          <w:szCs w:val="24"/>
        </w:rPr>
      </w:pPr>
      <w:r w:rsidRPr="002739FC">
        <w:rPr>
          <w:rFonts w:cs="Times New Roman"/>
          <w:szCs w:val="24"/>
        </w:rPr>
        <w:t>Previsión de la demanda</w:t>
      </w:r>
      <w:r>
        <w:rPr>
          <w:rFonts w:cs="Times New Roman"/>
          <w:szCs w:val="24"/>
        </w:rPr>
        <w:t>, e</w:t>
      </w:r>
      <w:r w:rsidRPr="002739FC">
        <w:rPr>
          <w:rFonts w:cs="Times New Roman"/>
          <w:szCs w:val="24"/>
        </w:rPr>
        <w:t>n sistemas de energía interconectados o en islas grandes, la demanda depende de las condiciones climáticas,</w:t>
      </w:r>
      <w:r>
        <w:rPr>
          <w:rFonts w:cs="Times New Roman"/>
          <w:szCs w:val="24"/>
        </w:rPr>
        <w:t xml:space="preserve"> </w:t>
      </w:r>
      <w:r w:rsidRPr="002739FC">
        <w:rPr>
          <w:rFonts w:cs="Times New Roman"/>
          <w:szCs w:val="24"/>
        </w:rPr>
        <w:t>hábitos y actividades de los clientes y, por lo tanto, está altamente correlacionado con la hora del día y el</w:t>
      </w:r>
      <w:r>
        <w:rPr>
          <w:rFonts w:cs="Times New Roman"/>
          <w:szCs w:val="24"/>
        </w:rPr>
        <w:t xml:space="preserve"> </w:t>
      </w:r>
      <w:r w:rsidRPr="002739FC">
        <w:rPr>
          <w:rFonts w:cs="Times New Roman"/>
          <w:szCs w:val="24"/>
        </w:rPr>
        <w:t>tipo del día o estación del año. Por lo general, se requieren prediccione</w:t>
      </w:r>
      <w:r>
        <w:rPr>
          <w:rFonts w:cs="Times New Roman"/>
          <w:szCs w:val="24"/>
        </w:rPr>
        <w:t xml:space="preserve">s para las próximas 24/48 horas </w:t>
      </w:r>
      <w:r w:rsidRPr="002739FC">
        <w:rPr>
          <w:rFonts w:cs="Times New Roman"/>
          <w:szCs w:val="24"/>
        </w:rPr>
        <w:t>en pasos de tiempo de una hora o de 30 minutos. Por lo general, la precisión de la previsión es alta, del orden de</w:t>
      </w:r>
    </w:p>
    <w:p w:rsidR="002739FC" w:rsidRPr="002739FC" w:rsidRDefault="002739FC" w:rsidP="002739FC">
      <w:pPr>
        <w:ind w:left="709"/>
        <w:rPr>
          <w:rFonts w:cs="Times New Roman"/>
          <w:szCs w:val="24"/>
        </w:rPr>
      </w:pPr>
      <w:r w:rsidRPr="002739FC">
        <w:rPr>
          <w:rFonts w:cs="Times New Roman"/>
          <w:szCs w:val="24"/>
        </w:rPr>
        <w:t>1-5% - dependiendo d</w:t>
      </w:r>
      <w:r>
        <w:rPr>
          <w:rFonts w:cs="Times New Roman"/>
          <w:szCs w:val="24"/>
        </w:rPr>
        <w:t>el horizonte temporal y el tipo/tamaño del sistema. La i</w:t>
      </w:r>
      <w:r w:rsidRPr="002739FC">
        <w:rPr>
          <w:rFonts w:cs="Times New Roman"/>
          <w:szCs w:val="24"/>
        </w:rPr>
        <w:t>ncertidumbre puede ser</w:t>
      </w:r>
      <w:r>
        <w:rPr>
          <w:rFonts w:cs="Times New Roman"/>
          <w:szCs w:val="24"/>
        </w:rPr>
        <w:t xml:space="preserve"> </w:t>
      </w:r>
      <w:r w:rsidRPr="002739FC">
        <w:rPr>
          <w:rFonts w:cs="Times New Roman"/>
          <w:szCs w:val="24"/>
        </w:rPr>
        <w:t xml:space="preserve">estimado por métodos clásicos, como </w:t>
      </w:r>
      <w:r w:rsidR="0000121E" w:rsidRPr="002739FC">
        <w:rPr>
          <w:rFonts w:cs="Times New Roman"/>
          <w:szCs w:val="24"/>
        </w:rPr>
        <w:t>re muestreo</w:t>
      </w:r>
      <w:r w:rsidRPr="002739FC">
        <w:rPr>
          <w:rFonts w:cs="Times New Roman"/>
          <w:szCs w:val="24"/>
        </w:rPr>
        <w:t>.</w:t>
      </w:r>
      <w:r>
        <w:rPr>
          <w:rFonts w:cs="Times New Roman"/>
          <w:szCs w:val="24"/>
        </w:rPr>
        <w:t xml:space="preserve"> (p.37)</w:t>
      </w:r>
    </w:p>
    <w:p w:rsidR="00E654CA" w:rsidRPr="00E654CA" w:rsidRDefault="00E654CA" w:rsidP="00E654CA">
      <w:pPr>
        <w:ind w:left="709"/>
        <w:rPr>
          <w:rFonts w:cs="Times New Roman"/>
          <w:szCs w:val="24"/>
        </w:rPr>
      </w:pPr>
      <w:r w:rsidRPr="00E654CA">
        <w:rPr>
          <w:rFonts w:cs="Times New Roman"/>
          <w:szCs w:val="24"/>
        </w:rPr>
        <w:t>Pronóstico de producción eólica y fotovoltaica</w:t>
      </w:r>
      <w:r>
        <w:rPr>
          <w:rFonts w:cs="Times New Roman"/>
          <w:szCs w:val="24"/>
        </w:rPr>
        <w:t xml:space="preserve">, </w:t>
      </w:r>
      <w:r w:rsidRPr="00E654CA">
        <w:rPr>
          <w:rFonts w:cs="Times New Roman"/>
          <w:szCs w:val="24"/>
        </w:rPr>
        <w:t>L</w:t>
      </w:r>
      <w:r>
        <w:rPr>
          <w:rFonts w:cs="Times New Roman"/>
          <w:szCs w:val="24"/>
        </w:rPr>
        <w:t>a previsión a corto plazo es de p</w:t>
      </w:r>
      <w:r w:rsidRPr="00E654CA">
        <w:rPr>
          <w:rFonts w:cs="Times New Roman"/>
          <w:szCs w:val="24"/>
        </w:rPr>
        <w:t>rimordial importancia para integrar la energía eólica</w:t>
      </w:r>
      <w:r>
        <w:rPr>
          <w:rFonts w:cs="Times New Roman"/>
          <w:szCs w:val="24"/>
        </w:rPr>
        <w:t xml:space="preserve"> </w:t>
      </w:r>
      <w:r w:rsidRPr="00E654CA">
        <w:rPr>
          <w:rFonts w:cs="Times New Roman"/>
          <w:szCs w:val="24"/>
        </w:rPr>
        <w:t>energía, especialmente en sistemas de energía más grandes, y existe una literatura muy rica sobre el</w:t>
      </w:r>
    </w:p>
    <w:p w:rsidR="00E654CA" w:rsidRDefault="00E654CA" w:rsidP="00E654CA">
      <w:pPr>
        <w:ind w:firstLine="709"/>
        <w:rPr>
          <w:rFonts w:cs="Times New Roman"/>
          <w:szCs w:val="24"/>
        </w:rPr>
      </w:pPr>
      <w:r>
        <w:rPr>
          <w:rFonts w:cs="Times New Roman"/>
          <w:szCs w:val="24"/>
        </w:rPr>
        <w:t>tema</w:t>
      </w:r>
      <w:r w:rsidRPr="00E654CA">
        <w:rPr>
          <w:rFonts w:cs="Times New Roman"/>
          <w:szCs w:val="24"/>
        </w:rPr>
        <w:t>. La investigación en predicció</w:t>
      </w:r>
      <w:r>
        <w:rPr>
          <w:rFonts w:cs="Times New Roman"/>
          <w:szCs w:val="24"/>
        </w:rPr>
        <w:t>n de energía eólica es un campo</w:t>
      </w:r>
    </w:p>
    <w:p w:rsidR="00E654CA" w:rsidRPr="00E654CA" w:rsidRDefault="00E654CA" w:rsidP="00E654CA">
      <w:pPr>
        <w:ind w:left="709"/>
        <w:rPr>
          <w:rFonts w:cs="Times New Roman"/>
          <w:szCs w:val="24"/>
        </w:rPr>
      </w:pPr>
      <w:r w:rsidRPr="00E654CA">
        <w:rPr>
          <w:rFonts w:cs="Times New Roman"/>
          <w:szCs w:val="24"/>
        </w:rPr>
        <w:t>multidisciplinar, ya que combina</w:t>
      </w:r>
      <w:r>
        <w:rPr>
          <w:rFonts w:cs="Times New Roman"/>
          <w:szCs w:val="24"/>
        </w:rPr>
        <w:t xml:space="preserve"> </w:t>
      </w:r>
      <w:r w:rsidRPr="00E654CA">
        <w:rPr>
          <w:rFonts w:cs="Times New Roman"/>
          <w:szCs w:val="24"/>
        </w:rPr>
        <w:t>áreas como meteorología, estadística, modelado físico, inteligencia computacional.</w:t>
      </w:r>
      <w:r>
        <w:rPr>
          <w:rFonts w:cs="Times New Roman"/>
          <w:szCs w:val="24"/>
        </w:rPr>
        <w:t xml:space="preserve"> </w:t>
      </w:r>
      <w:r w:rsidRPr="00E654CA">
        <w:rPr>
          <w:rFonts w:cs="Times New Roman"/>
          <w:szCs w:val="24"/>
        </w:rPr>
        <w:t>En las micro</w:t>
      </w:r>
      <w:r>
        <w:rPr>
          <w:rFonts w:cs="Times New Roman"/>
          <w:szCs w:val="24"/>
        </w:rPr>
        <w:t>grid</w:t>
      </w:r>
      <w:r w:rsidRPr="00E654CA">
        <w:rPr>
          <w:rFonts w:cs="Times New Roman"/>
          <w:szCs w:val="24"/>
        </w:rPr>
        <w:t>s, las previsiones de generación renovable se pueden proporcionar de forma centralizada (p. Ej.</w:t>
      </w:r>
    </w:p>
    <w:p w:rsidR="002739FC" w:rsidRDefault="00E654CA" w:rsidP="00E654CA">
      <w:pPr>
        <w:ind w:left="709"/>
        <w:rPr>
          <w:rFonts w:cs="Times New Roman"/>
          <w:szCs w:val="24"/>
        </w:rPr>
      </w:pPr>
      <w:r w:rsidRPr="00E654CA">
        <w:rPr>
          <w:rFonts w:cs="Times New Roman"/>
          <w:szCs w:val="24"/>
        </w:rPr>
        <w:t xml:space="preserve">en el caso de un MGCC) utilizando la entrada de pronósticos meteorológicos y mediciones pasadas. </w:t>
      </w:r>
      <w:r>
        <w:rPr>
          <w:rFonts w:cs="Times New Roman"/>
          <w:szCs w:val="24"/>
        </w:rPr>
        <w:t>(p.38)</w:t>
      </w:r>
    </w:p>
    <w:p w:rsidR="00161E83" w:rsidRPr="00161E83" w:rsidRDefault="00161E83" w:rsidP="00161E83">
      <w:pPr>
        <w:ind w:left="709"/>
        <w:rPr>
          <w:rFonts w:cs="Times New Roman"/>
          <w:szCs w:val="24"/>
        </w:rPr>
      </w:pPr>
      <w:r w:rsidRPr="00161E83">
        <w:rPr>
          <w:rFonts w:cs="Times New Roman"/>
          <w:szCs w:val="24"/>
        </w:rPr>
        <w:lastRenderedPageBreak/>
        <w:t>Pronóstico de precios de electricidad</w:t>
      </w:r>
      <w:r>
        <w:rPr>
          <w:rFonts w:cs="Times New Roman"/>
          <w:szCs w:val="24"/>
        </w:rPr>
        <w:t>, l</w:t>
      </w:r>
      <w:r w:rsidRPr="00161E83">
        <w:rPr>
          <w:rFonts w:cs="Times New Roman"/>
          <w:szCs w:val="24"/>
        </w:rPr>
        <w:t>a previsión a corto plazo de los precios de la electricidad puede ser importante en mercados de electricidad volátiles.</w:t>
      </w:r>
      <w:r>
        <w:rPr>
          <w:rFonts w:cs="Times New Roman"/>
          <w:szCs w:val="24"/>
        </w:rPr>
        <w:t xml:space="preserve"> </w:t>
      </w:r>
      <w:r w:rsidRPr="00161E83">
        <w:rPr>
          <w:rFonts w:cs="Times New Roman"/>
          <w:szCs w:val="24"/>
        </w:rPr>
        <w:t>Los precios al contado pueden influir significativamente en las decisiones sobre el uso de micro fuentes. Varios</w:t>
      </w:r>
      <w:r>
        <w:rPr>
          <w:rFonts w:cs="Times New Roman"/>
          <w:szCs w:val="24"/>
        </w:rPr>
        <w:t xml:space="preserve"> enfoques s</w:t>
      </w:r>
      <w:r w:rsidRPr="00161E83">
        <w:rPr>
          <w:rFonts w:cs="Times New Roman"/>
          <w:szCs w:val="24"/>
        </w:rPr>
        <w:t>e han probado para este propósito. Los precios de la electricidad varían de otros productos básicos</w:t>
      </w:r>
      <w:r>
        <w:rPr>
          <w:rFonts w:cs="Times New Roman"/>
          <w:szCs w:val="24"/>
        </w:rPr>
        <w:t xml:space="preserve"> </w:t>
      </w:r>
      <w:r w:rsidRPr="00161E83">
        <w:rPr>
          <w:rFonts w:cs="Times New Roman"/>
          <w:szCs w:val="24"/>
        </w:rPr>
        <w:t>porque el bien principal, la electricidad, no se puede almacenar, lo que implica que</w:t>
      </w:r>
      <w:r>
        <w:rPr>
          <w:rFonts w:cs="Times New Roman"/>
          <w:szCs w:val="24"/>
        </w:rPr>
        <w:t xml:space="preserve"> no se pueden realizar y administrar inventarios para </w:t>
      </w:r>
      <w:r w:rsidRPr="00161E83">
        <w:rPr>
          <w:rFonts w:cs="Times New Roman"/>
          <w:szCs w:val="24"/>
        </w:rPr>
        <w:t>arbitrar precios a lo largo del tiempo. Como ejemplo, el proceso en Leipzig</w:t>
      </w:r>
      <w:r>
        <w:rPr>
          <w:rFonts w:cs="Times New Roman"/>
          <w:szCs w:val="24"/>
        </w:rPr>
        <w:t xml:space="preserve"> </w:t>
      </w:r>
      <w:r w:rsidRPr="00161E83">
        <w:rPr>
          <w:rFonts w:cs="Times New Roman"/>
          <w:szCs w:val="24"/>
        </w:rPr>
        <w:t>Power Exchange se puede caracterizar por las si</w:t>
      </w:r>
      <w:r>
        <w:rPr>
          <w:rFonts w:cs="Times New Roman"/>
          <w:szCs w:val="24"/>
        </w:rPr>
        <w:t>guientes</w:t>
      </w:r>
      <w:r w:rsidRPr="00161E83">
        <w:rPr>
          <w:rFonts w:cs="Times New Roman"/>
          <w:szCs w:val="24"/>
        </w:rPr>
        <w:t>:</w:t>
      </w:r>
      <w:r>
        <w:rPr>
          <w:rFonts w:cs="Times New Roman"/>
          <w:szCs w:val="24"/>
        </w:rPr>
        <w:t xml:space="preserve"> </w:t>
      </w:r>
      <w:r w:rsidRPr="00161E83">
        <w:rPr>
          <w:rFonts w:cs="Times New Roman"/>
          <w:szCs w:val="24"/>
        </w:rPr>
        <w:t>fuerte reversión media: la desviación del precio debida a efectos aleatorios se corrige a un</w:t>
      </w:r>
      <w:r>
        <w:rPr>
          <w:rFonts w:cs="Times New Roman"/>
          <w:szCs w:val="24"/>
        </w:rPr>
        <w:t xml:space="preserve"> c</w:t>
      </w:r>
      <w:r w:rsidRPr="00161E83">
        <w:rPr>
          <w:rFonts w:cs="Times New Roman"/>
          <w:szCs w:val="24"/>
        </w:rPr>
        <w:t>ierto grado,</w:t>
      </w:r>
      <w:r>
        <w:rPr>
          <w:rFonts w:cs="Times New Roman"/>
          <w:szCs w:val="24"/>
        </w:rPr>
        <w:t xml:space="preserve"> </w:t>
      </w:r>
      <w:r w:rsidRPr="00161E83">
        <w:rPr>
          <w:rFonts w:cs="Times New Roman"/>
          <w:szCs w:val="24"/>
        </w:rPr>
        <w:t>efecto de la hora del día,</w:t>
      </w:r>
    </w:p>
    <w:p w:rsidR="00161E83" w:rsidRPr="00161E83" w:rsidRDefault="00161E83" w:rsidP="00161E83">
      <w:pPr>
        <w:ind w:left="709"/>
        <w:rPr>
          <w:rFonts w:cs="Times New Roman"/>
          <w:szCs w:val="24"/>
        </w:rPr>
      </w:pPr>
      <w:r w:rsidRPr="00161E83">
        <w:rPr>
          <w:rFonts w:cs="Times New Roman"/>
          <w:szCs w:val="24"/>
        </w:rPr>
        <w:t>efectos de calendario como días laborables, fines de semana y festivos,</w:t>
      </w:r>
      <w:r>
        <w:rPr>
          <w:rFonts w:cs="Times New Roman"/>
          <w:szCs w:val="24"/>
        </w:rPr>
        <w:t xml:space="preserve"> </w:t>
      </w:r>
      <w:r w:rsidRPr="00161E83">
        <w:rPr>
          <w:rFonts w:cs="Times New Roman"/>
          <w:szCs w:val="24"/>
        </w:rPr>
        <w:t>efectos estacionales,</w:t>
      </w:r>
      <w:r>
        <w:rPr>
          <w:rFonts w:cs="Times New Roman"/>
          <w:szCs w:val="24"/>
        </w:rPr>
        <w:t xml:space="preserve"> </w:t>
      </w:r>
      <w:r w:rsidRPr="00161E83">
        <w:rPr>
          <w:rFonts w:cs="Times New Roman"/>
          <w:szCs w:val="24"/>
        </w:rPr>
        <w:t>volatilidad variable en el tiempo y agrupamiento de volatilidad,</w:t>
      </w:r>
    </w:p>
    <w:p w:rsidR="00161E83" w:rsidRDefault="00161E83" w:rsidP="00161E83">
      <w:pPr>
        <w:ind w:left="709"/>
        <w:rPr>
          <w:rFonts w:cs="Times New Roman"/>
          <w:szCs w:val="24"/>
        </w:rPr>
      </w:pPr>
      <w:r w:rsidRPr="00161E83">
        <w:rPr>
          <w:rFonts w:cs="Times New Roman"/>
          <w:szCs w:val="24"/>
        </w:rPr>
        <w:t xml:space="preserve">alto porcentaje de precios inusuales, principalmente en períodos de alta </w:t>
      </w:r>
      <w:r w:rsidR="005F29A2">
        <w:rPr>
          <w:rFonts w:cs="Times New Roman"/>
          <w:szCs w:val="24"/>
        </w:rPr>
        <w:t>d</w:t>
      </w:r>
      <w:r w:rsidRPr="00161E83">
        <w:rPr>
          <w:rFonts w:cs="Times New Roman"/>
          <w:szCs w:val="24"/>
        </w:rPr>
        <w:t>emanda,</w:t>
      </w:r>
      <w:r w:rsidR="005F29A2">
        <w:rPr>
          <w:rFonts w:cs="Times New Roman"/>
          <w:szCs w:val="24"/>
        </w:rPr>
        <w:t xml:space="preserve"> e</w:t>
      </w:r>
      <w:r w:rsidRPr="00161E83">
        <w:rPr>
          <w:rFonts w:cs="Times New Roman"/>
          <w:szCs w:val="24"/>
        </w:rPr>
        <w:t>fecto de apalancamiento inverso: un choque de precios positivo tiene un impacto mayor que uno negativo,</w:t>
      </w:r>
      <w:r w:rsidR="005F29A2">
        <w:rPr>
          <w:rFonts w:cs="Times New Roman"/>
          <w:szCs w:val="24"/>
        </w:rPr>
        <w:t xml:space="preserve"> </w:t>
      </w:r>
      <w:r w:rsidRPr="00161E83">
        <w:rPr>
          <w:rFonts w:cs="Times New Roman"/>
          <w:szCs w:val="24"/>
        </w:rPr>
        <w:t>media y varianza</w:t>
      </w:r>
      <w:r w:rsidR="005F29A2">
        <w:rPr>
          <w:rFonts w:cs="Times New Roman"/>
          <w:szCs w:val="24"/>
        </w:rPr>
        <w:t>s</w:t>
      </w:r>
      <w:r w:rsidRPr="00161E83">
        <w:rPr>
          <w:rFonts w:cs="Times New Roman"/>
          <w:szCs w:val="24"/>
        </w:rPr>
        <w:t xml:space="preserve"> no constantes</w:t>
      </w:r>
      <w:r w:rsidR="005F29A2">
        <w:rPr>
          <w:rFonts w:cs="Times New Roman"/>
          <w:szCs w:val="24"/>
        </w:rPr>
        <w:t>. (p.39)</w:t>
      </w:r>
    </w:p>
    <w:p w:rsidR="0030749E" w:rsidRPr="0030749E" w:rsidRDefault="0030749E" w:rsidP="0030749E">
      <w:pPr>
        <w:ind w:left="709"/>
        <w:rPr>
          <w:rFonts w:cs="Times New Roman"/>
          <w:szCs w:val="24"/>
        </w:rPr>
      </w:pPr>
      <w:r w:rsidRPr="0030749E">
        <w:rPr>
          <w:rFonts w:cs="Times New Roman"/>
          <w:szCs w:val="24"/>
        </w:rPr>
        <w:t>Control centralizado</w:t>
      </w:r>
    </w:p>
    <w:p w:rsidR="0030749E" w:rsidRPr="0030749E" w:rsidRDefault="0030749E" w:rsidP="0030749E">
      <w:pPr>
        <w:ind w:left="709"/>
        <w:rPr>
          <w:rFonts w:cs="Times New Roman"/>
          <w:szCs w:val="24"/>
        </w:rPr>
      </w:pPr>
      <w:r w:rsidRPr="0030749E">
        <w:rPr>
          <w:rFonts w:cs="Times New Roman"/>
          <w:szCs w:val="24"/>
        </w:rPr>
        <w:t xml:space="preserve">Las </w:t>
      </w:r>
      <w:r w:rsidR="0000121E" w:rsidRPr="0030749E">
        <w:rPr>
          <w:rFonts w:cs="Times New Roman"/>
          <w:szCs w:val="24"/>
        </w:rPr>
        <w:t>microg</w:t>
      </w:r>
      <w:r w:rsidR="0000121E">
        <w:rPr>
          <w:rFonts w:cs="Times New Roman"/>
          <w:szCs w:val="24"/>
        </w:rPr>
        <w:t>rids</w:t>
      </w:r>
      <w:r w:rsidRPr="0030749E">
        <w:rPr>
          <w:rFonts w:cs="Times New Roman"/>
          <w:szCs w:val="24"/>
        </w:rPr>
        <w:t xml:space="preserve"> se pueden gestionar de forma centralizada ampliando y adaptando adecuadamente las funcionalidades</w:t>
      </w:r>
      <w:r>
        <w:rPr>
          <w:rFonts w:cs="Times New Roman"/>
          <w:szCs w:val="24"/>
        </w:rPr>
        <w:t xml:space="preserve"> </w:t>
      </w:r>
      <w:r w:rsidRPr="0030749E">
        <w:rPr>
          <w:rFonts w:cs="Times New Roman"/>
          <w:szCs w:val="24"/>
        </w:rPr>
        <w:t>del sistema de gestión de energía (EMS) existente. Con respecto al funcion</w:t>
      </w:r>
      <w:r>
        <w:rPr>
          <w:rFonts w:cs="Times New Roman"/>
          <w:szCs w:val="24"/>
        </w:rPr>
        <w:t xml:space="preserve">amiento en estado estable, como </w:t>
      </w:r>
      <w:r w:rsidRPr="0030749E">
        <w:rPr>
          <w:rFonts w:cs="Times New Roman"/>
          <w:szCs w:val="24"/>
        </w:rPr>
        <w:t>se muestra en la Figura 2.8, la característica básica del control centralizado es que las decisiones sobre el</w:t>
      </w:r>
      <w:r>
        <w:rPr>
          <w:rFonts w:cs="Times New Roman"/>
          <w:szCs w:val="24"/>
        </w:rPr>
        <w:t xml:space="preserve"> </w:t>
      </w:r>
      <w:r w:rsidRPr="0030749E">
        <w:rPr>
          <w:rFonts w:cs="Times New Roman"/>
          <w:szCs w:val="24"/>
        </w:rPr>
        <w:t>operador de la micro</w:t>
      </w:r>
      <w:r>
        <w:rPr>
          <w:rFonts w:cs="Times New Roman"/>
          <w:szCs w:val="24"/>
        </w:rPr>
        <w:t>grid</w:t>
      </w:r>
      <w:r w:rsidRPr="0030749E">
        <w:rPr>
          <w:rFonts w:cs="Times New Roman"/>
          <w:szCs w:val="24"/>
        </w:rPr>
        <w:t xml:space="preserve"> o la ESCO se encarga de la operación del control directo de respuesta a la demanda o DER (por ejemplo, almacenamiento instalado a nivel de distribución) a nivel del MGCC. La</w:t>
      </w:r>
      <w:r>
        <w:rPr>
          <w:rFonts w:cs="Times New Roman"/>
          <w:szCs w:val="24"/>
        </w:rPr>
        <w:t xml:space="preserve"> </w:t>
      </w:r>
      <w:r w:rsidRPr="0030749E">
        <w:rPr>
          <w:rFonts w:cs="Times New Roman"/>
          <w:szCs w:val="24"/>
        </w:rPr>
        <w:t>MGCC está equipado, entre otras cosas, con rutinas de programación que proporcionan</w:t>
      </w:r>
    </w:p>
    <w:p w:rsidR="005F29A2" w:rsidRDefault="0030749E" w:rsidP="0030749E">
      <w:pPr>
        <w:ind w:left="709"/>
        <w:rPr>
          <w:rFonts w:cs="Times New Roman"/>
          <w:szCs w:val="24"/>
        </w:rPr>
      </w:pPr>
      <w:r w:rsidRPr="0030749E">
        <w:rPr>
          <w:rFonts w:cs="Times New Roman"/>
          <w:szCs w:val="24"/>
        </w:rPr>
        <w:t>puntos de ajuste a los MC, basados ​​en los objet</w:t>
      </w:r>
      <w:r>
        <w:rPr>
          <w:rFonts w:cs="Times New Roman"/>
          <w:szCs w:val="24"/>
        </w:rPr>
        <w:t>ivos generales de optimización. (p.40)</w:t>
      </w:r>
    </w:p>
    <w:p w:rsidR="00871877" w:rsidRPr="00871877" w:rsidRDefault="00871877" w:rsidP="00871877">
      <w:pPr>
        <w:ind w:left="709"/>
        <w:rPr>
          <w:rFonts w:cs="Times New Roman"/>
          <w:szCs w:val="24"/>
        </w:rPr>
      </w:pPr>
      <w:r w:rsidRPr="00871877">
        <w:rPr>
          <w:rFonts w:cs="Times New Roman"/>
          <w:szCs w:val="24"/>
        </w:rPr>
        <w:t>Las fuentes de energía distribuidas localmente, actuando como actores individuales del mercado o como</w:t>
      </w:r>
      <w:r>
        <w:rPr>
          <w:rFonts w:cs="Times New Roman"/>
          <w:szCs w:val="24"/>
        </w:rPr>
        <w:t xml:space="preserve"> </w:t>
      </w:r>
      <w:r w:rsidRPr="00871877">
        <w:rPr>
          <w:rFonts w:cs="Times New Roman"/>
          <w:szCs w:val="24"/>
        </w:rPr>
        <w:t>actor</w:t>
      </w:r>
      <w:r>
        <w:rPr>
          <w:rFonts w:cs="Times New Roman"/>
          <w:szCs w:val="24"/>
        </w:rPr>
        <w:t>es</w:t>
      </w:r>
      <w:r w:rsidRPr="00871877">
        <w:rPr>
          <w:rFonts w:cs="Times New Roman"/>
          <w:szCs w:val="24"/>
        </w:rPr>
        <w:t xml:space="preserve"> de mercado coordinado, proporcion</w:t>
      </w:r>
      <w:r>
        <w:rPr>
          <w:rFonts w:cs="Times New Roman"/>
          <w:szCs w:val="24"/>
        </w:rPr>
        <w:t>an</w:t>
      </w:r>
      <w:r w:rsidRPr="00871877">
        <w:rPr>
          <w:rFonts w:cs="Times New Roman"/>
          <w:szCs w:val="24"/>
        </w:rPr>
        <w:t xml:space="preserve"> energía y servicios auxiliares mediante licitaciones en energía y</w:t>
      </w:r>
      <w:r>
        <w:rPr>
          <w:rFonts w:cs="Times New Roman"/>
          <w:szCs w:val="24"/>
        </w:rPr>
        <w:t xml:space="preserve"> </w:t>
      </w:r>
      <w:r w:rsidRPr="00871877">
        <w:rPr>
          <w:rFonts w:cs="Times New Roman"/>
          <w:szCs w:val="24"/>
        </w:rPr>
        <w:t>mercados auxiliares, basados ​​en los precios proporcionados por el sistema. Se pueden establecer dos políticas de mercado</w:t>
      </w:r>
      <w:r>
        <w:rPr>
          <w:rFonts w:cs="Times New Roman"/>
          <w:szCs w:val="24"/>
        </w:rPr>
        <w:t xml:space="preserve"> </w:t>
      </w:r>
      <w:r w:rsidRPr="00871877">
        <w:rPr>
          <w:rFonts w:cs="Times New Roman"/>
          <w:szCs w:val="24"/>
        </w:rPr>
        <w:t>distinguido: En el primer caso, la micro</w:t>
      </w:r>
      <w:r>
        <w:rPr>
          <w:rFonts w:cs="Times New Roman"/>
          <w:szCs w:val="24"/>
        </w:rPr>
        <w:t>gri</w:t>
      </w:r>
      <w:r w:rsidRPr="00871877">
        <w:rPr>
          <w:rFonts w:cs="Times New Roman"/>
          <w:szCs w:val="24"/>
        </w:rPr>
        <w:t xml:space="preserve">d </w:t>
      </w:r>
      <w:r w:rsidRPr="00871877">
        <w:rPr>
          <w:rFonts w:cs="Times New Roman"/>
          <w:szCs w:val="24"/>
        </w:rPr>
        <w:lastRenderedPageBreak/>
        <w:t>sirve solo para sus propias necesidades, desplazando tanto</w:t>
      </w:r>
      <w:r>
        <w:rPr>
          <w:rFonts w:cs="Times New Roman"/>
          <w:szCs w:val="24"/>
        </w:rPr>
        <w:t xml:space="preserve"> </w:t>
      </w:r>
      <w:r w:rsidRPr="00871877">
        <w:rPr>
          <w:rFonts w:cs="Times New Roman"/>
          <w:szCs w:val="24"/>
        </w:rPr>
        <w:t>energía de la red como económicamente óptima. En el segundo caso, la micro</w:t>
      </w:r>
      <w:r>
        <w:rPr>
          <w:rFonts w:cs="Times New Roman"/>
          <w:szCs w:val="24"/>
        </w:rPr>
        <w:t>gri</w:t>
      </w:r>
      <w:r w:rsidRPr="00871877">
        <w:rPr>
          <w:rFonts w:cs="Times New Roman"/>
          <w:szCs w:val="24"/>
        </w:rPr>
        <w:t>d participa en</w:t>
      </w:r>
    </w:p>
    <w:p w:rsidR="00871877" w:rsidRDefault="00871877" w:rsidP="00871877">
      <w:pPr>
        <w:ind w:left="709"/>
        <w:rPr>
          <w:rFonts w:cs="Times New Roman"/>
          <w:szCs w:val="24"/>
        </w:rPr>
      </w:pPr>
      <w:r w:rsidRPr="00871877">
        <w:rPr>
          <w:rFonts w:cs="Times New Roman"/>
          <w:szCs w:val="24"/>
        </w:rPr>
        <w:t xml:space="preserve">el mercado probablemente a través de un proveedor de servicios de energía o un </w:t>
      </w:r>
      <w:r w:rsidR="0000121E">
        <w:rPr>
          <w:rFonts w:cs="Times New Roman"/>
          <w:szCs w:val="24"/>
        </w:rPr>
        <w:t xml:space="preserve">servicio de </w:t>
      </w:r>
      <w:r w:rsidRPr="00871877">
        <w:rPr>
          <w:rFonts w:cs="Times New Roman"/>
          <w:szCs w:val="24"/>
        </w:rPr>
        <w:t>agrega</w:t>
      </w:r>
      <w:r w:rsidR="0000121E">
        <w:rPr>
          <w:rFonts w:cs="Times New Roman"/>
          <w:szCs w:val="24"/>
        </w:rPr>
        <w:t>ción</w:t>
      </w:r>
      <w:r w:rsidRPr="00871877">
        <w:rPr>
          <w:rFonts w:cs="Times New Roman"/>
          <w:szCs w:val="24"/>
        </w:rPr>
        <w:t>. Por su tamaño y la</w:t>
      </w:r>
      <w:r>
        <w:rPr>
          <w:rFonts w:cs="Times New Roman"/>
          <w:szCs w:val="24"/>
        </w:rPr>
        <w:t xml:space="preserve"> </w:t>
      </w:r>
      <w:r w:rsidR="0000121E">
        <w:rPr>
          <w:rFonts w:cs="Times New Roman"/>
          <w:szCs w:val="24"/>
        </w:rPr>
        <w:t>in</w:t>
      </w:r>
      <w:r w:rsidRPr="00871877">
        <w:rPr>
          <w:rFonts w:cs="Times New Roman"/>
          <w:szCs w:val="24"/>
        </w:rPr>
        <w:t>controlabilidad de las micro-fuentes, es poco probable que las ofertas de micro</w:t>
      </w:r>
      <w:r w:rsidR="0000121E">
        <w:rPr>
          <w:rFonts w:cs="Times New Roman"/>
          <w:szCs w:val="24"/>
        </w:rPr>
        <w:t>grid</w:t>
      </w:r>
      <w:r w:rsidRPr="00871877">
        <w:rPr>
          <w:rFonts w:cs="Times New Roman"/>
          <w:szCs w:val="24"/>
        </w:rPr>
        <w:t>s afecten a más</w:t>
      </w:r>
      <w:r>
        <w:rPr>
          <w:rFonts w:cs="Times New Roman"/>
          <w:szCs w:val="24"/>
        </w:rPr>
        <w:t xml:space="preserve"> </w:t>
      </w:r>
      <w:r w:rsidRPr="00871877">
        <w:rPr>
          <w:rFonts w:cs="Times New Roman"/>
          <w:szCs w:val="24"/>
        </w:rPr>
        <w:t>horizontes temporales. Es concebible, sin embargo, tener ofertas de micro</w:t>
      </w:r>
      <w:r>
        <w:rPr>
          <w:rFonts w:cs="Times New Roman"/>
          <w:szCs w:val="24"/>
        </w:rPr>
        <w:t>grid</w:t>
      </w:r>
      <w:r w:rsidRPr="00871877">
        <w:rPr>
          <w:rFonts w:cs="Times New Roman"/>
          <w:szCs w:val="24"/>
        </w:rPr>
        <w:t>s que cubran un corto período de tiempo,</w:t>
      </w:r>
      <w:r>
        <w:rPr>
          <w:rFonts w:cs="Times New Roman"/>
          <w:szCs w:val="24"/>
        </w:rPr>
        <w:t xml:space="preserve"> </w:t>
      </w:r>
      <w:r w:rsidRPr="00871877">
        <w:rPr>
          <w:rFonts w:cs="Times New Roman"/>
          <w:szCs w:val="24"/>
        </w:rPr>
        <w:t>digamos los próximos 15-30 minutos.</w:t>
      </w:r>
      <w:r>
        <w:rPr>
          <w:rFonts w:cs="Times New Roman"/>
          <w:szCs w:val="24"/>
        </w:rPr>
        <w:t xml:space="preserve"> (p.40)</w:t>
      </w:r>
    </w:p>
    <w:p w:rsidR="00871877" w:rsidRDefault="00871877" w:rsidP="00871877">
      <w:pPr>
        <w:ind w:left="709"/>
        <w:rPr>
          <w:rFonts w:cs="Times New Roman"/>
          <w:szCs w:val="24"/>
        </w:rPr>
      </w:pPr>
      <w:r w:rsidRPr="00871877">
        <w:rPr>
          <w:rFonts w:cs="Times New Roman"/>
          <w:szCs w:val="24"/>
        </w:rPr>
        <w:t>Además, en el funcionamiento interconectado normal, los consumidores individuales pueden participar en la</w:t>
      </w:r>
      <w:r>
        <w:rPr>
          <w:rFonts w:cs="Times New Roman"/>
          <w:szCs w:val="24"/>
        </w:rPr>
        <w:t xml:space="preserve"> </w:t>
      </w:r>
      <w:r w:rsidRPr="00871877">
        <w:rPr>
          <w:rFonts w:cs="Times New Roman"/>
          <w:szCs w:val="24"/>
        </w:rPr>
        <w:t>operación de mercado, proporcionando flexibilidad de carga, directa o indirectamente, mediante controladores</w:t>
      </w:r>
      <w:r>
        <w:rPr>
          <w:rFonts w:cs="Times New Roman"/>
          <w:szCs w:val="24"/>
        </w:rPr>
        <w:t xml:space="preserve"> programables adecuados</w:t>
      </w:r>
      <w:r w:rsidRPr="00871877">
        <w:rPr>
          <w:rFonts w:cs="Times New Roman"/>
          <w:szCs w:val="24"/>
        </w:rPr>
        <w:t>. Se supone que cada consumidor puede tener cargas de alta y baja prioridad y</w:t>
      </w:r>
      <w:r>
        <w:rPr>
          <w:rFonts w:cs="Times New Roman"/>
          <w:szCs w:val="24"/>
        </w:rPr>
        <w:t xml:space="preserve"> </w:t>
      </w:r>
      <w:r w:rsidRPr="00871877">
        <w:rPr>
          <w:rFonts w:cs="Times New Roman"/>
          <w:szCs w:val="24"/>
        </w:rPr>
        <w:t>enviar ofertas por separado al MGCC para cada uno de ellos. De esta forma, el consumo total del</w:t>
      </w:r>
      <w:r>
        <w:rPr>
          <w:rFonts w:cs="Times New Roman"/>
          <w:szCs w:val="24"/>
        </w:rPr>
        <w:t xml:space="preserve"> </w:t>
      </w:r>
      <w:r w:rsidRPr="00871877">
        <w:rPr>
          <w:rFonts w:cs="Times New Roman"/>
          <w:szCs w:val="24"/>
        </w:rPr>
        <w:t>consumidor es conocido de antemano. Algunas de las cargas serán servidas y otras no, según</w:t>
      </w:r>
      <w:r>
        <w:rPr>
          <w:rFonts w:cs="Times New Roman"/>
          <w:szCs w:val="24"/>
        </w:rPr>
        <w:t xml:space="preserve"> </w:t>
      </w:r>
      <w:r w:rsidRPr="00871877">
        <w:rPr>
          <w:rFonts w:cs="Times New Roman"/>
          <w:szCs w:val="24"/>
        </w:rPr>
        <w:t>las ofertas tanto de los consumidores como de los productores de energía locales. Se pueden considerar dos opciones</w:t>
      </w:r>
      <w:r>
        <w:rPr>
          <w:rFonts w:cs="Times New Roman"/>
          <w:szCs w:val="24"/>
        </w:rPr>
        <w:t xml:space="preserve"> </w:t>
      </w:r>
      <w:r w:rsidRPr="00871877">
        <w:rPr>
          <w:rFonts w:cs="Times New Roman"/>
          <w:szCs w:val="24"/>
        </w:rPr>
        <w:t>para las ofertas de los consumidores: (a) la oferta del consumidor para el suministro de cargas de alta y baja prioridad o (b)</w:t>
      </w:r>
      <w:r>
        <w:rPr>
          <w:rFonts w:cs="Times New Roman"/>
          <w:szCs w:val="24"/>
        </w:rPr>
        <w:t xml:space="preserve"> </w:t>
      </w:r>
      <w:r w:rsidRPr="00871877">
        <w:rPr>
          <w:rFonts w:cs="Times New Roman"/>
          <w:szCs w:val="24"/>
        </w:rPr>
        <w:t>oferta del consumidor para deshacerse de cargas de baja prioridad a precios fijos en los próximos períodos operativos.</w:t>
      </w:r>
      <w:r>
        <w:rPr>
          <w:rFonts w:cs="Times New Roman"/>
          <w:szCs w:val="24"/>
        </w:rPr>
        <w:t xml:space="preserve"> </w:t>
      </w:r>
      <w:r w:rsidRPr="00871877">
        <w:rPr>
          <w:rFonts w:cs="Times New Roman"/>
          <w:szCs w:val="24"/>
        </w:rPr>
        <w:t>Para las cargas que el MGCC decide no atender, se envía una señal a los controladores de carga en</w:t>
      </w:r>
      <w:r>
        <w:rPr>
          <w:rFonts w:cs="Times New Roman"/>
          <w:szCs w:val="24"/>
        </w:rPr>
        <w:t xml:space="preserve"> </w:t>
      </w:r>
      <w:r w:rsidRPr="00871877">
        <w:rPr>
          <w:rFonts w:cs="Times New Roman"/>
          <w:szCs w:val="24"/>
        </w:rPr>
        <w:t>para interrumpir el suministro eléctrico.</w:t>
      </w:r>
      <w:r>
        <w:rPr>
          <w:rFonts w:cs="Times New Roman"/>
          <w:szCs w:val="24"/>
        </w:rPr>
        <w:t xml:space="preserve"> (p.41)</w:t>
      </w:r>
    </w:p>
    <w:p w:rsidR="00871877" w:rsidRDefault="00871877" w:rsidP="00871877">
      <w:pPr>
        <w:ind w:left="709"/>
        <w:rPr>
          <w:rFonts w:cs="Times New Roman"/>
          <w:szCs w:val="24"/>
        </w:rPr>
      </w:pPr>
      <w:r w:rsidRPr="00871877">
        <w:rPr>
          <w:rFonts w:cs="Times New Roman"/>
          <w:szCs w:val="24"/>
        </w:rPr>
        <w:t>Cabe señalar que los propietarios de DG o cargas flexibles podrían no tener, como principal</w:t>
      </w:r>
      <w:r>
        <w:rPr>
          <w:rFonts w:cs="Times New Roman"/>
          <w:szCs w:val="24"/>
        </w:rPr>
        <w:t xml:space="preserve"> </w:t>
      </w:r>
      <w:r w:rsidRPr="00871877">
        <w:rPr>
          <w:rFonts w:cs="Times New Roman"/>
          <w:szCs w:val="24"/>
        </w:rPr>
        <w:t>motivación, maximización de beneficios obtenidos en el mercado mayorista. En cambio, su objetivo podría ser</w:t>
      </w:r>
      <w:r>
        <w:rPr>
          <w:rFonts w:cs="Times New Roman"/>
          <w:szCs w:val="24"/>
        </w:rPr>
        <w:t xml:space="preserve"> </w:t>
      </w:r>
      <w:r w:rsidRPr="00871877">
        <w:rPr>
          <w:rFonts w:cs="Times New Roman"/>
          <w:szCs w:val="24"/>
        </w:rPr>
        <w:t>para satisfacer otras necesidades, como la demanda de calor o el aumento de la calidad del serv</w:t>
      </w:r>
      <w:r>
        <w:rPr>
          <w:rFonts w:cs="Times New Roman"/>
          <w:szCs w:val="24"/>
        </w:rPr>
        <w:t xml:space="preserve">icio (calidad de la energía). </w:t>
      </w:r>
      <w:r w:rsidRPr="00871877">
        <w:rPr>
          <w:rFonts w:cs="Times New Roman"/>
          <w:szCs w:val="24"/>
        </w:rPr>
        <w:t>El sistema de control debe ser capaz de identificar las necesidades específicas en c</w:t>
      </w:r>
      <w:r w:rsidR="008B2811">
        <w:rPr>
          <w:rFonts w:cs="Times New Roman"/>
          <w:szCs w:val="24"/>
        </w:rPr>
        <w:t xml:space="preserve">ada caso y utilizar el mercado. </w:t>
      </w:r>
      <w:r w:rsidRPr="00871877">
        <w:rPr>
          <w:rFonts w:cs="Times New Roman"/>
          <w:szCs w:val="24"/>
        </w:rPr>
        <w:t>El equilibrio entre las necesidades individuales y</w:t>
      </w:r>
      <w:r w:rsidR="008B2811">
        <w:rPr>
          <w:rFonts w:cs="Times New Roman"/>
          <w:szCs w:val="24"/>
        </w:rPr>
        <w:t xml:space="preserve"> l</w:t>
      </w:r>
      <w:r w:rsidRPr="00871877">
        <w:rPr>
          <w:rFonts w:cs="Times New Roman"/>
          <w:szCs w:val="24"/>
        </w:rPr>
        <w:t>a participación de mercado debe encontrarse en cada caso, por separado.</w:t>
      </w:r>
    </w:p>
    <w:p w:rsidR="008B2811" w:rsidRPr="008B2811" w:rsidRDefault="008B2811" w:rsidP="008B2811">
      <w:pPr>
        <w:ind w:left="709"/>
        <w:rPr>
          <w:rFonts w:cs="Times New Roman"/>
          <w:szCs w:val="24"/>
        </w:rPr>
      </w:pPr>
      <w:r w:rsidRPr="008B2811">
        <w:rPr>
          <w:rFonts w:cs="Times New Roman"/>
          <w:szCs w:val="24"/>
        </w:rPr>
        <w:t>Operación económica</w:t>
      </w:r>
      <w:r>
        <w:rPr>
          <w:rFonts w:cs="Times New Roman"/>
          <w:szCs w:val="24"/>
        </w:rPr>
        <w:t>, u</w:t>
      </w:r>
      <w:r w:rsidRPr="008B2811">
        <w:rPr>
          <w:rFonts w:cs="Times New Roman"/>
          <w:szCs w:val="24"/>
        </w:rPr>
        <w:t>na micro</w:t>
      </w:r>
      <w:r>
        <w:rPr>
          <w:rFonts w:cs="Times New Roman"/>
          <w:szCs w:val="24"/>
        </w:rPr>
        <w:t>gri</w:t>
      </w:r>
      <w:r w:rsidRPr="008B2811">
        <w:rPr>
          <w:rFonts w:cs="Times New Roman"/>
          <w:szCs w:val="24"/>
        </w:rPr>
        <w:t>d típica funciona de la siguiente manera: El controlador local MC tiene en cuenta la</w:t>
      </w:r>
      <w:r>
        <w:rPr>
          <w:rFonts w:cs="Times New Roman"/>
          <w:szCs w:val="24"/>
        </w:rPr>
        <w:t xml:space="preserve"> </w:t>
      </w:r>
      <w:r w:rsidRPr="008B2811">
        <w:rPr>
          <w:rFonts w:cs="Times New Roman"/>
          <w:szCs w:val="24"/>
        </w:rPr>
        <w:t>función de costo operativo de la</w:t>
      </w:r>
      <w:r>
        <w:rPr>
          <w:rFonts w:cs="Times New Roman"/>
          <w:szCs w:val="24"/>
        </w:rPr>
        <w:t xml:space="preserve"> </w:t>
      </w:r>
      <w:r w:rsidR="0000121E" w:rsidRPr="008B2811">
        <w:rPr>
          <w:rFonts w:cs="Times New Roman"/>
          <w:szCs w:val="24"/>
        </w:rPr>
        <w:t>micro fuente</w:t>
      </w:r>
      <w:r w:rsidRPr="008B2811">
        <w:rPr>
          <w:rFonts w:cs="Times New Roman"/>
          <w:szCs w:val="24"/>
        </w:rPr>
        <w:t>, un margen de beneficio buscado por el propietario de la DG, y</w:t>
      </w:r>
    </w:p>
    <w:p w:rsidR="008B2811" w:rsidRPr="008B2811" w:rsidRDefault="008B2811" w:rsidP="008B2811">
      <w:pPr>
        <w:ind w:left="709"/>
        <w:rPr>
          <w:rFonts w:cs="Times New Roman"/>
          <w:szCs w:val="24"/>
        </w:rPr>
      </w:pPr>
      <w:r w:rsidRPr="008B2811">
        <w:rPr>
          <w:rFonts w:cs="Times New Roman"/>
          <w:szCs w:val="24"/>
        </w:rPr>
        <w:lastRenderedPageBreak/>
        <w:t>los precios del mercado externo proporcionados por el MGCC, con el fin de</w:t>
      </w:r>
      <w:r>
        <w:rPr>
          <w:rFonts w:cs="Times New Roman"/>
          <w:szCs w:val="24"/>
        </w:rPr>
        <w:t xml:space="preserve"> </w:t>
      </w:r>
      <w:r w:rsidRPr="008B2811">
        <w:rPr>
          <w:rFonts w:cs="Times New Roman"/>
          <w:szCs w:val="24"/>
        </w:rPr>
        <w:t>anunciar ofertas al</w:t>
      </w:r>
      <w:r>
        <w:rPr>
          <w:rFonts w:cs="Times New Roman"/>
          <w:szCs w:val="24"/>
        </w:rPr>
        <w:t xml:space="preserve"> </w:t>
      </w:r>
      <w:r w:rsidRPr="008B2811">
        <w:rPr>
          <w:rFonts w:cs="Times New Roman"/>
          <w:szCs w:val="24"/>
        </w:rPr>
        <w:t xml:space="preserve">MGCC, así como limitaciones técnicas. Estas ofertas se realizan a intervalos de tiempo fijos m para </w:t>
      </w:r>
      <w:r>
        <w:rPr>
          <w:rFonts w:cs="Times New Roman"/>
          <w:szCs w:val="24"/>
        </w:rPr>
        <w:t xml:space="preserve">las </w:t>
      </w:r>
      <w:r w:rsidRPr="008B2811">
        <w:rPr>
          <w:rFonts w:cs="Times New Roman"/>
          <w:szCs w:val="24"/>
        </w:rPr>
        <w:t>próximas horas, es decir, el horizonte de optimización. Un intervalo típico puede ser de 15 minutos, si</w:t>
      </w:r>
    </w:p>
    <w:p w:rsidR="008B2811" w:rsidRPr="008B2811" w:rsidRDefault="008B2811" w:rsidP="008B2811">
      <w:pPr>
        <w:ind w:left="709"/>
        <w:rPr>
          <w:rFonts w:cs="Times New Roman"/>
          <w:szCs w:val="24"/>
        </w:rPr>
      </w:pPr>
      <w:r w:rsidRPr="008B2811">
        <w:rPr>
          <w:rFonts w:cs="Times New Roman"/>
          <w:szCs w:val="24"/>
        </w:rPr>
        <w:t>asumir el funcionamiento del sistema de acuerdo con las funciones de los sistemas AMR / AMI actuales. El MGCC</w:t>
      </w:r>
      <w:r>
        <w:rPr>
          <w:rFonts w:cs="Times New Roman"/>
          <w:szCs w:val="24"/>
        </w:rPr>
        <w:t xml:space="preserve"> o</w:t>
      </w:r>
      <w:r w:rsidRPr="008B2811">
        <w:rPr>
          <w:rFonts w:cs="Times New Roman"/>
          <w:szCs w:val="24"/>
        </w:rPr>
        <w:t>ptimiza el funcionamiento de la micro</w:t>
      </w:r>
      <w:r w:rsidR="00580B6C">
        <w:rPr>
          <w:rFonts w:cs="Times New Roman"/>
          <w:szCs w:val="24"/>
        </w:rPr>
        <w:t>gri</w:t>
      </w:r>
      <w:r w:rsidRPr="008B2811">
        <w:rPr>
          <w:rFonts w:cs="Times New Roman"/>
          <w:szCs w:val="24"/>
        </w:rPr>
        <w:t>d de acuerdo con los precios del mercado externo, las ofertas recibidas</w:t>
      </w:r>
    </w:p>
    <w:p w:rsidR="00A35EC7" w:rsidRPr="00A35EC7" w:rsidRDefault="008B2811" w:rsidP="00A35EC7">
      <w:pPr>
        <w:ind w:left="709"/>
        <w:rPr>
          <w:rFonts w:cs="Times New Roman"/>
          <w:szCs w:val="24"/>
        </w:rPr>
      </w:pPr>
      <w:r w:rsidRPr="008B2811">
        <w:rPr>
          <w:rFonts w:cs="Times New Roman"/>
          <w:szCs w:val="24"/>
        </w:rPr>
        <w:t>por las fuentes DG y las cargas pronosticadas, y envía señales a los MC de las fuentes DG para</w:t>
      </w:r>
      <w:r w:rsidR="00580B6C">
        <w:rPr>
          <w:rFonts w:cs="Times New Roman"/>
          <w:szCs w:val="24"/>
        </w:rPr>
        <w:t xml:space="preserve"> </w:t>
      </w:r>
      <w:r w:rsidRPr="008B2811">
        <w:rPr>
          <w:rFonts w:cs="Times New Roman"/>
          <w:szCs w:val="24"/>
        </w:rPr>
        <w:t>comprometerse y, en su caso, determinar el nivel de su producción. Además,</w:t>
      </w:r>
      <w:r w:rsidR="00580B6C">
        <w:rPr>
          <w:rFonts w:cs="Times New Roman"/>
          <w:szCs w:val="24"/>
        </w:rPr>
        <w:t xml:space="preserve"> l</w:t>
      </w:r>
      <w:r w:rsidRPr="008B2811">
        <w:rPr>
          <w:rFonts w:cs="Times New Roman"/>
          <w:szCs w:val="24"/>
        </w:rPr>
        <w:t xml:space="preserve">os consumidores dentro de la </w:t>
      </w:r>
      <w:r w:rsidR="0000121E" w:rsidRPr="008B2811">
        <w:rPr>
          <w:rFonts w:cs="Times New Roman"/>
          <w:szCs w:val="24"/>
        </w:rPr>
        <w:t>microgrid</w:t>
      </w:r>
      <w:r w:rsidRPr="008B2811">
        <w:rPr>
          <w:rFonts w:cs="Times New Roman"/>
          <w:szCs w:val="24"/>
        </w:rPr>
        <w:t xml:space="preserve"> pueden ofertar por el suministro de sus cargas durante la próxima hora en el</w:t>
      </w:r>
      <w:r w:rsidR="00580B6C">
        <w:rPr>
          <w:rFonts w:cs="Times New Roman"/>
          <w:szCs w:val="24"/>
        </w:rPr>
        <w:t xml:space="preserve"> </w:t>
      </w:r>
      <w:r w:rsidR="00A35EC7" w:rsidRPr="00A35EC7">
        <w:rPr>
          <w:rFonts w:cs="Times New Roman"/>
          <w:szCs w:val="24"/>
        </w:rPr>
        <w:t>mismo intervalo de m minutos, o podría hacer una oferta para reducir sus cargas, si se remunera de manera justa. En este caso,</w:t>
      </w:r>
      <w:r w:rsidR="00A35EC7">
        <w:rPr>
          <w:rFonts w:cs="Times New Roman"/>
          <w:szCs w:val="24"/>
        </w:rPr>
        <w:t xml:space="preserve"> </w:t>
      </w:r>
      <w:r w:rsidR="00A35EC7" w:rsidRPr="00A35EC7">
        <w:rPr>
          <w:rFonts w:cs="Times New Roman"/>
          <w:szCs w:val="24"/>
        </w:rPr>
        <w:t>el MGCC optimiza la operación basada en fuentes DG y ofertas de carga flexible, y envía</w:t>
      </w:r>
      <w:r w:rsidR="00A35EC7">
        <w:rPr>
          <w:rFonts w:cs="Times New Roman"/>
          <w:szCs w:val="24"/>
        </w:rPr>
        <w:t xml:space="preserve"> </w:t>
      </w:r>
      <w:r w:rsidR="00A35EC7" w:rsidRPr="00A35EC7">
        <w:rPr>
          <w:rFonts w:cs="Times New Roman"/>
          <w:szCs w:val="24"/>
        </w:rPr>
        <w:t>enviar señales tanto a los MC como a los LC. La figura 2.11 muestra un intercambio de información típico</w:t>
      </w:r>
    </w:p>
    <w:p w:rsidR="00A35EC7" w:rsidRDefault="00A35EC7" w:rsidP="00A35EC7">
      <w:pPr>
        <w:ind w:left="709"/>
        <w:rPr>
          <w:rFonts w:cs="Times New Roman"/>
          <w:szCs w:val="24"/>
        </w:rPr>
      </w:pPr>
      <w:r w:rsidRPr="00A35EC7">
        <w:rPr>
          <w:rFonts w:cs="Times New Roman"/>
          <w:szCs w:val="24"/>
        </w:rPr>
        <w:t xml:space="preserve">Flujo en operación de </w:t>
      </w:r>
      <w:r w:rsidR="0000121E" w:rsidRPr="00A35EC7">
        <w:rPr>
          <w:rFonts w:cs="Times New Roman"/>
          <w:szCs w:val="24"/>
        </w:rPr>
        <w:t>microgrid</w:t>
      </w:r>
      <w:r w:rsidRPr="00A35EC7">
        <w:rPr>
          <w:rFonts w:cs="Times New Roman"/>
          <w:szCs w:val="24"/>
        </w:rPr>
        <w:t>.</w:t>
      </w:r>
    </w:p>
    <w:p w:rsidR="001603AE" w:rsidRDefault="00A35EC7" w:rsidP="001603AE">
      <w:pPr>
        <w:keepNext/>
        <w:ind w:left="709"/>
      </w:pPr>
      <w:r w:rsidRPr="00A35EC7">
        <w:rPr>
          <w:rFonts w:cs="Times New Roman"/>
          <w:noProof/>
          <w:szCs w:val="24"/>
          <w:lang w:eastAsia="es-AR"/>
        </w:rPr>
        <w:drawing>
          <wp:inline distT="0" distB="0" distL="0" distR="0" wp14:anchorId="2907B1A2" wp14:editId="27366E11">
            <wp:extent cx="5400040" cy="36786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040" cy="3678630"/>
                    </a:xfrm>
                    <a:prstGeom prst="rect">
                      <a:avLst/>
                    </a:prstGeom>
                    <a:noFill/>
                    <a:ln>
                      <a:noFill/>
                    </a:ln>
                  </pic:spPr>
                </pic:pic>
              </a:graphicData>
            </a:graphic>
          </wp:inline>
        </w:drawing>
      </w:r>
    </w:p>
    <w:p w:rsidR="00A35EC7" w:rsidRPr="001603AE" w:rsidRDefault="001603AE" w:rsidP="001603AE">
      <w:pPr>
        <w:pStyle w:val="Caption"/>
        <w:ind w:left="709"/>
        <w:rPr>
          <w:rFonts w:cs="Times New Roman"/>
          <w:i w:val="0"/>
          <w:sz w:val="24"/>
          <w:szCs w:val="24"/>
        </w:rPr>
      </w:pPr>
      <w:r w:rsidRPr="001603AE">
        <w:rPr>
          <w:i w:val="0"/>
          <w:color w:val="auto"/>
          <w:sz w:val="24"/>
          <w:szCs w:val="24"/>
        </w:rPr>
        <w:t xml:space="preserve">Ilustración </w:t>
      </w:r>
      <w:r w:rsidR="0041332E">
        <w:rPr>
          <w:i w:val="0"/>
          <w:color w:val="auto"/>
          <w:sz w:val="24"/>
          <w:szCs w:val="24"/>
        </w:rPr>
        <w:fldChar w:fldCharType="begin"/>
      </w:r>
      <w:r w:rsidR="0041332E">
        <w:rPr>
          <w:i w:val="0"/>
          <w:color w:val="auto"/>
          <w:sz w:val="24"/>
          <w:szCs w:val="24"/>
        </w:rPr>
        <w:instrText xml:space="preserve"> SEQ Ilustración \* ARABIC </w:instrText>
      </w:r>
      <w:r w:rsidR="0041332E">
        <w:rPr>
          <w:i w:val="0"/>
          <w:color w:val="auto"/>
          <w:sz w:val="24"/>
          <w:szCs w:val="24"/>
        </w:rPr>
        <w:fldChar w:fldCharType="separate"/>
      </w:r>
      <w:r w:rsidR="007A5F5A">
        <w:rPr>
          <w:i w:val="0"/>
          <w:noProof/>
          <w:color w:val="auto"/>
          <w:sz w:val="24"/>
          <w:szCs w:val="24"/>
        </w:rPr>
        <w:t>3</w:t>
      </w:r>
      <w:r w:rsidR="0041332E">
        <w:rPr>
          <w:i w:val="0"/>
          <w:color w:val="auto"/>
          <w:sz w:val="24"/>
          <w:szCs w:val="24"/>
        </w:rPr>
        <w:fldChar w:fldCharType="end"/>
      </w:r>
      <w:r w:rsidRPr="001603AE">
        <w:rPr>
          <w:i w:val="0"/>
          <w:color w:val="auto"/>
          <w:sz w:val="24"/>
          <w:szCs w:val="24"/>
        </w:rPr>
        <w:t>. (Hatziargyriou, 2014</w:t>
      </w:r>
      <w:r w:rsidR="0000121E">
        <w:rPr>
          <w:i w:val="0"/>
          <w:color w:val="auto"/>
          <w:sz w:val="24"/>
          <w:szCs w:val="24"/>
        </w:rPr>
        <w:t>. p.33</w:t>
      </w:r>
      <w:r w:rsidRPr="001603AE">
        <w:rPr>
          <w:i w:val="0"/>
          <w:color w:val="auto"/>
          <w:sz w:val="24"/>
          <w:szCs w:val="24"/>
        </w:rPr>
        <w:t>), Figura 2.11. Circuito cerrado para los mercados de la energía: diagrama de intercambio de información.</w:t>
      </w:r>
    </w:p>
    <w:p w:rsidR="00740AAA" w:rsidRDefault="00A35EC7" w:rsidP="00A35EC7">
      <w:pPr>
        <w:ind w:left="709"/>
        <w:rPr>
          <w:rFonts w:cs="Times New Roman"/>
          <w:szCs w:val="24"/>
        </w:rPr>
      </w:pPr>
      <w:r w:rsidRPr="00A35EC7">
        <w:rPr>
          <w:rFonts w:cs="Times New Roman"/>
          <w:szCs w:val="24"/>
        </w:rPr>
        <w:lastRenderedPageBreak/>
        <w:t xml:space="preserve">El procedimiento de optimización depende claramente de la política de </w:t>
      </w:r>
      <w:r w:rsidR="001603AE">
        <w:rPr>
          <w:rFonts w:cs="Times New Roman"/>
          <w:szCs w:val="24"/>
        </w:rPr>
        <w:t>mercado adoptada en la operación de la microgrid</w:t>
      </w:r>
      <w:r w:rsidRPr="00A35EC7">
        <w:rPr>
          <w:rFonts w:cs="Times New Roman"/>
          <w:szCs w:val="24"/>
        </w:rPr>
        <w:t xml:space="preserve">. </w:t>
      </w:r>
      <w:r w:rsidR="00BC23FE">
        <w:rPr>
          <w:rFonts w:cs="Times New Roman"/>
          <w:szCs w:val="24"/>
        </w:rPr>
        <w:t>(p.42)</w:t>
      </w:r>
    </w:p>
    <w:p w:rsidR="00BC23FE" w:rsidRDefault="00BC23FE" w:rsidP="00983F63">
      <w:pPr>
        <w:ind w:left="709"/>
        <w:rPr>
          <w:rFonts w:cs="Times New Roman"/>
          <w:szCs w:val="24"/>
        </w:rPr>
      </w:pPr>
      <w:r w:rsidRPr="00BC23FE">
        <w:rPr>
          <w:rFonts w:cs="Times New Roman"/>
          <w:szCs w:val="24"/>
        </w:rPr>
        <w:t>Políticas de mercado</w:t>
      </w:r>
      <w:r w:rsidR="006C3351">
        <w:rPr>
          <w:rFonts w:cs="Times New Roman"/>
          <w:szCs w:val="24"/>
        </w:rPr>
        <w:t>.</w:t>
      </w:r>
      <w:r>
        <w:rPr>
          <w:rFonts w:cs="Times New Roman"/>
          <w:szCs w:val="24"/>
        </w:rPr>
        <w:t xml:space="preserve"> </w:t>
      </w:r>
      <w:r w:rsidRPr="00BC23FE">
        <w:rPr>
          <w:rFonts w:cs="Times New Roman"/>
          <w:szCs w:val="24"/>
        </w:rPr>
        <w:t>Se asumen dos políticas de mercado: En la primera política, el MGCC apunta a atender la demanda total</w:t>
      </w:r>
      <w:r w:rsidR="00983F63">
        <w:rPr>
          <w:rFonts w:cs="Times New Roman"/>
          <w:szCs w:val="24"/>
        </w:rPr>
        <w:t xml:space="preserve"> </w:t>
      </w:r>
      <w:r w:rsidRPr="00BC23FE">
        <w:rPr>
          <w:rFonts w:cs="Times New Roman"/>
          <w:szCs w:val="24"/>
        </w:rPr>
        <w:t>de la micro</w:t>
      </w:r>
      <w:r w:rsidR="00983F63">
        <w:rPr>
          <w:rFonts w:cs="Times New Roman"/>
          <w:szCs w:val="24"/>
        </w:rPr>
        <w:t>gri</w:t>
      </w:r>
      <w:r w:rsidRPr="00BC23FE">
        <w:rPr>
          <w:rFonts w:cs="Times New Roman"/>
          <w:szCs w:val="24"/>
        </w:rPr>
        <w:t>d, utilizando su producción local, tanto como sea posible cuando sea económicamente beneficioso,</w:t>
      </w:r>
      <w:r w:rsidR="00983F63">
        <w:rPr>
          <w:rFonts w:cs="Times New Roman"/>
          <w:szCs w:val="24"/>
        </w:rPr>
        <w:t xml:space="preserve"> </w:t>
      </w:r>
      <w:r w:rsidRPr="00BC23FE">
        <w:rPr>
          <w:rFonts w:cs="Times New Roman"/>
          <w:szCs w:val="24"/>
        </w:rPr>
        <w:t xml:space="preserve">sin exportar energía a la red de distribución </w:t>
      </w:r>
      <w:r w:rsidR="00983F63">
        <w:rPr>
          <w:rFonts w:cs="Times New Roman"/>
          <w:szCs w:val="24"/>
        </w:rPr>
        <w:t>aguas arriba</w:t>
      </w:r>
      <w:r w:rsidRPr="00BC23FE">
        <w:rPr>
          <w:rFonts w:cs="Times New Roman"/>
          <w:szCs w:val="24"/>
        </w:rPr>
        <w:t>. Además, el MGCC intenta</w:t>
      </w:r>
      <w:r w:rsidR="00983F63">
        <w:rPr>
          <w:rFonts w:cs="Times New Roman"/>
          <w:szCs w:val="24"/>
        </w:rPr>
        <w:t xml:space="preserve"> </w:t>
      </w:r>
      <w:r w:rsidRPr="00BC23FE">
        <w:rPr>
          <w:rFonts w:cs="Times New Roman"/>
          <w:szCs w:val="24"/>
        </w:rPr>
        <w:t>minimizar sus solicitudes de potencia reactiva de la red de dist</w:t>
      </w:r>
      <w:r w:rsidR="00983F63">
        <w:rPr>
          <w:rFonts w:cs="Times New Roman"/>
          <w:szCs w:val="24"/>
        </w:rPr>
        <w:t>ribución. Esto es equivalente a</w:t>
      </w:r>
      <w:r w:rsidRPr="00BC23FE">
        <w:rPr>
          <w:rFonts w:cs="Times New Roman"/>
          <w:szCs w:val="24"/>
        </w:rPr>
        <w:t>l "buen</w:t>
      </w:r>
      <w:r w:rsidR="00983F63">
        <w:rPr>
          <w:rFonts w:cs="Times New Roman"/>
          <w:szCs w:val="24"/>
        </w:rPr>
        <w:t xml:space="preserve"> </w:t>
      </w:r>
      <w:r w:rsidRPr="00BC23FE">
        <w:rPr>
          <w:rFonts w:cs="Times New Roman"/>
          <w:szCs w:val="24"/>
        </w:rPr>
        <w:t>comportamiento ciuda</w:t>
      </w:r>
      <w:r w:rsidR="00983F63">
        <w:rPr>
          <w:rFonts w:cs="Times New Roman"/>
          <w:szCs w:val="24"/>
        </w:rPr>
        <w:t>dano”</w:t>
      </w:r>
      <w:r w:rsidRPr="00BC23FE">
        <w:rPr>
          <w:rFonts w:cs="Times New Roman"/>
          <w:szCs w:val="24"/>
        </w:rPr>
        <w:t xml:space="preserve">. Para </w:t>
      </w:r>
      <w:r w:rsidR="00983F63">
        <w:rPr>
          <w:rFonts w:cs="Times New Roman"/>
          <w:szCs w:val="24"/>
        </w:rPr>
        <w:t xml:space="preserve">el funcionamiento general de toda la operación </w:t>
      </w:r>
      <w:r w:rsidRPr="00BC23FE">
        <w:rPr>
          <w:rFonts w:cs="Times New Roman"/>
          <w:szCs w:val="24"/>
        </w:rPr>
        <w:t xml:space="preserve">red de distribución, el comportamiento es </w:t>
      </w:r>
      <w:r w:rsidR="00983F63">
        <w:rPr>
          <w:rFonts w:cs="Times New Roman"/>
          <w:szCs w:val="24"/>
        </w:rPr>
        <w:t xml:space="preserve">muy </w:t>
      </w:r>
      <w:r w:rsidRPr="00BC23FE">
        <w:rPr>
          <w:rFonts w:cs="Times New Roman"/>
          <w:szCs w:val="24"/>
        </w:rPr>
        <w:t>beneficioso porque:</w:t>
      </w:r>
      <w:r w:rsidR="00983F63">
        <w:rPr>
          <w:rFonts w:cs="Times New Roman"/>
          <w:szCs w:val="24"/>
        </w:rPr>
        <w:t xml:space="preserve"> </w:t>
      </w:r>
      <w:r w:rsidRPr="00BC23FE">
        <w:rPr>
          <w:rFonts w:cs="Times New Roman"/>
          <w:szCs w:val="24"/>
        </w:rPr>
        <w:t>en el momento de máxima demanda que conduce a altos precios de la energía en el mercado abierto, la micro</w:t>
      </w:r>
      <w:r w:rsidR="00983F63">
        <w:rPr>
          <w:rFonts w:cs="Times New Roman"/>
          <w:szCs w:val="24"/>
        </w:rPr>
        <w:t>grid. A</w:t>
      </w:r>
      <w:r w:rsidRPr="00BC23FE">
        <w:rPr>
          <w:rFonts w:cs="Times New Roman"/>
          <w:szCs w:val="24"/>
        </w:rPr>
        <w:t>livia la posible congestión de la red al suplir parcial o totalmente sus necesidades energéticas</w:t>
      </w:r>
      <w:r w:rsidR="00983F63">
        <w:rPr>
          <w:rFonts w:cs="Times New Roman"/>
          <w:szCs w:val="24"/>
        </w:rPr>
        <w:t xml:space="preserve"> </w:t>
      </w:r>
      <w:r w:rsidRPr="00BC23FE">
        <w:rPr>
          <w:rFonts w:cs="Times New Roman"/>
          <w:szCs w:val="24"/>
        </w:rPr>
        <w:t>la red de distribución no tiene que lidiar con el soporte de potencia reactiva de la micro</w:t>
      </w:r>
      <w:r w:rsidR="00983F63">
        <w:rPr>
          <w:rFonts w:cs="Times New Roman"/>
          <w:szCs w:val="24"/>
        </w:rPr>
        <w:t xml:space="preserve">grid, </w:t>
      </w:r>
      <w:r w:rsidRPr="00BC23FE">
        <w:rPr>
          <w:rFonts w:cs="Times New Roman"/>
          <w:szCs w:val="24"/>
        </w:rPr>
        <w:t>facilitando el control de voltaje.</w:t>
      </w:r>
    </w:p>
    <w:p w:rsidR="00A35EC7" w:rsidRPr="00740AAA" w:rsidRDefault="00983F63" w:rsidP="00983F63">
      <w:pPr>
        <w:ind w:left="709"/>
      </w:pPr>
      <w:r>
        <w:t xml:space="preserve">Desde el punto de vista de los usuarios finales, el MGCC minimiza el costo operativo de la microgrid, teniendo en cuenta los precios de mercado abierto, la demanda y las ofertas de GD. Los usuarios finales de la microgrid comparten los beneficios de los costos operativos reducidos. En la segunda de las dos </w:t>
      </w:r>
      <w:r w:rsidR="0056288C">
        <w:t>políticas</w:t>
      </w:r>
      <w:r>
        <w:t xml:space="preserve">, la microgrid participa en el mercado abierto, comprando y vendiendo energía activa y reactiva a la red, probablemente a través de un </w:t>
      </w:r>
      <w:r w:rsidR="0056288C">
        <w:t xml:space="preserve">servicio de </w:t>
      </w:r>
      <w:r>
        <w:t>agrega</w:t>
      </w:r>
      <w:r w:rsidR="0056288C">
        <w:t xml:space="preserve">ción o </w:t>
      </w:r>
      <w:r w:rsidR="0056288C">
        <w:t>proveedor</w:t>
      </w:r>
      <w:r w:rsidR="0056288C">
        <w:t xml:space="preserve"> de servicio de energía</w:t>
      </w:r>
      <w:r>
        <w:t xml:space="preserve">. De acuerdo con esta política, el MGCC intenta maximizar el valor de la </w:t>
      </w:r>
      <w:r w:rsidR="0056288C">
        <w:t>microgrid</w:t>
      </w:r>
      <w:r>
        <w:t xml:space="preserve">, es decir, maximizar los ingresos correspondientes del </w:t>
      </w:r>
      <w:r w:rsidR="0056288C">
        <w:t xml:space="preserve">servicio de </w:t>
      </w:r>
      <w:r>
        <w:t>agrega</w:t>
      </w:r>
      <w:r w:rsidR="0056288C">
        <w:t>ción</w:t>
      </w:r>
      <w:r>
        <w:t xml:space="preserve">, intercambiando </w:t>
      </w:r>
      <w:r w:rsidR="008614E9">
        <w:t>energía</w:t>
      </w:r>
      <w:r>
        <w:t xml:space="preserve"> con </w:t>
      </w:r>
      <w:r w:rsidR="008614E9">
        <w:t>la</w:t>
      </w:r>
      <w:r>
        <w:t xml:space="preserve"> red. A los usuarios finales se les cobra por su consumo de energía activa y reactiva al abrir</w:t>
      </w:r>
      <w:r w:rsidR="008614E9">
        <w:t xml:space="preserve"> </w:t>
      </w:r>
      <w:r>
        <w:t xml:space="preserve">precios de mercado. Desde el punto de vista de la cuadrícula, esto equivale al comportamiento del "ciudadano ideal". La </w:t>
      </w:r>
      <w:r w:rsidR="0056288C">
        <w:t>microgrid</w:t>
      </w:r>
      <w:r>
        <w:t xml:space="preserve"> se comporta como un único generador capaz de aliviar posibles</w:t>
      </w:r>
      <w:r w:rsidR="008614E9">
        <w:t xml:space="preserve"> congestio</w:t>
      </w:r>
      <w:r>
        <w:t>n</w:t>
      </w:r>
      <w:r w:rsidR="008614E9">
        <w:t>es</w:t>
      </w:r>
      <w:r>
        <w:t xml:space="preserve"> de la red no solo en la micro</w:t>
      </w:r>
      <w:r w:rsidR="008614E9">
        <w:t>gri</w:t>
      </w:r>
      <w:r>
        <w:t>d en sí, sino también mediante la transferencia de energía a l</w:t>
      </w:r>
      <w:r w:rsidR="008614E9">
        <w:t>o</w:t>
      </w:r>
      <w:r>
        <w:t>s</w:t>
      </w:r>
      <w:r w:rsidR="008614E9">
        <w:t xml:space="preserve"> </w:t>
      </w:r>
      <w:r>
        <w:t xml:space="preserve">alimentadores de la red de </w:t>
      </w:r>
      <w:r w:rsidR="008614E9">
        <w:t>d</w:t>
      </w:r>
      <w:r>
        <w:t>istribución.</w:t>
      </w:r>
      <w:r w:rsidR="008614E9">
        <w:t xml:space="preserve"> </w:t>
      </w:r>
      <w:r>
        <w:t>Cabe señalar que el MGCC puede tener en cuenta parámetros ambientales como</w:t>
      </w:r>
      <w:r w:rsidR="008614E9">
        <w:t xml:space="preserve"> </w:t>
      </w:r>
      <w:r>
        <w:t xml:space="preserve">reducciones de emisiones de gases de efecto invernadero (GEI), optimizando la operación de la </w:t>
      </w:r>
      <w:r w:rsidR="0056288C">
        <w:t>microgrid</w:t>
      </w:r>
      <w:r>
        <w:t xml:space="preserve"> en consecuencia.</w:t>
      </w:r>
      <w:r w:rsidR="008614E9">
        <w:t xml:space="preserve"> (p. 42-43)</w:t>
      </w:r>
    </w:p>
    <w:p w:rsidR="00945A4D" w:rsidRDefault="003203E3" w:rsidP="003203E3">
      <w:pPr>
        <w:pStyle w:val="Subtitle"/>
      </w:pPr>
      <w:r>
        <w:lastRenderedPageBreak/>
        <w:t>TIC</w:t>
      </w:r>
      <w:r w:rsidR="00945A4D">
        <w:t>s</w:t>
      </w:r>
    </w:p>
    <w:p w:rsidR="006B6B9B" w:rsidRDefault="006B6B9B" w:rsidP="006B6B9B">
      <w:r>
        <w:tab/>
        <w:t>Las tecnologías usadas en el proyecto se describen a continuación.</w:t>
      </w:r>
    </w:p>
    <w:p w:rsidR="003A7275" w:rsidRDefault="003A7275" w:rsidP="006B6B9B">
      <w:pPr>
        <w:ind w:left="709"/>
      </w:pPr>
      <w:r>
        <w:t xml:space="preserve">HTLM. </w:t>
      </w:r>
      <w:r w:rsidRPr="003A7275">
        <w:t>El Lenguaje de Marcado de H</w:t>
      </w:r>
      <w:r>
        <w:t>ipertexto</w:t>
      </w:r>
      <w:r w:rsidRPr="003A7275">
        <w:t xml:space="preserve"> es el código que se utiliza para estructurar y desplegar una página web y sus contenidos. Por ejemplo, sus contenidos podrían ser párrafos, una lista con viñetas, o imágenes y tablas de datos. HTML no es un lenguaje de programación; es un lenguaje de marcado que define la estructura de tu contenido. HTML consiste en una serie de elementos que usarás para encerrar diferentes partes del contenido para que se vean o comporten de una determinada manera. </w:t>
      </w:r>
      <w:sdt>
        <w:sdtPr>
          <w:id w:val="-1144664450"/>
          <w:citation/>
        </w:sdtPr>
        <w:sdtContent>
          <w:r>
            <w:fldChar w:fldCharType="begin"/>
          </w:r>
          <w:r>
            <w:instrText xml:space="preserve"> CITATION Moz21 \l 11274 </w:instrText>
          </w:r>
          <w:r>
            <w:fldChar w:fldCharType="separate"/>
          </w:r>
          <w:r w:rsidR="00151E33">
            <w:rPr>
              <w:noProof/>
            </w:rPr>
            <w:t>(contributors, 2021)</w:t>
          </w:r>
          <w:r>
            <w:fldChar w:fldCharType="end"/>
          </w:r>
        </w:sdtContent>
      </w:sdt>
    </w:p>
    <w:p w:rsidR="006B6B9B" w:rsidRDefault="006B6B9B" w:rsidP="006B6B9B">
      <w:pPr>
        <w:ind w:left="709"/>
      </w:pPr>
      <w:r w:rsidRPr="006B6B9B">
        <w:t>PHP (acrónimo recursivo de PHP: Hypertext Preprocessor) es un lenguaje de código abierto muy popular especialmente adecuado para el desarrollo web y que puede ser incrustado en HTML.</w:t>
      </w:r>
      <w:r>
        <w:t xml:space="preserve"> </w:t>
      </w:r>
      <w:r w:rsidRPr="006B6B9B">
        <w:t>Lo que distingue a PHP de algo del lado del cliente como Javascript es que el código es ejecutado en el servidor, generando HTML y enviándolo al cliente. El cliente recibirá el resultado de ejecutar el script, aunque no se sabrá el código subyacente que era. El servidor web puede ser configurado incluso para que procese todos los ficheros HTML con PHP, por lo que no hay manera de que los usuarios puedan saber qué se tiene debajo de la manga.</w:t>
      </w:r>
      <w:r>
        <w:t xml:space="preserve"> </w:t>
      </w:r>
      <w:sdt>
        <w:sdtPr>
          <w:id w:val="-1183818532"/>
          <w:citation/>
        </w:sdtPr>
        <w:sdtContent>
          <w:r w:rsidR="00174518">
            <w:fldChar w:fldCharType="begin"/>
          </w:r>
          <w:r w:rsidR="00174518">
            <w:instrText xml:space="preserve"> CITATION PHP \l 11274 </w:instrText>
          </w:r>
          <w:r w:rsidR="00174518">
            <w:fldChar w:fldCharType="separate"/>
          </w:r>
          <w:r w:rsidR="00151E33">
            <w:rPr>
              <w:noProof/>
            </w:rPr>
            <w:t>(PHP: ¿Que es PHP? Manual, s.f.)</w:t>
          </w:r>
          <w:r w:rsidR="00174518">
            <w:fldChar w:fldCharType="end"/>
          </w:r>
        </w:sdtContent>
      </w:sdt>
    </w:p>
    <w:p w:rsidR="008134C8" w:rsidRDefault="008134C8" w:rsidP="008134C8">
      <w:pPr>
        <w:ind w:left="709"/>
      </w:pPr>
      <w:r>
        <w:t xml:space="preserve">Javascript, </w:t>
      </w:r>
      <w:r w:rsidR="009F0001">
        <w:t xml:space="preserve">es </w:t>
      </w:r>
      <w:r>
        <w:t>un lenguaje interpretado incluido en navegadores,</w:t>
      </w:r>
    </w:p>
    <w:p w:rsidR="008134C8" w:rsidRDefault="00AB0492" w:rsidP="008134C8">
      <w:pPr>
        <w:ind w:left="709"/>
      </w:pPr>
      <w:r>
        <w:t xml:space="preserve">claramente </w:t>
      </w:r>
      <w:r w:rsidR="008134C8">
        <w:t>la manera de mejorar la experiencia de los usuarios y proveer</w:t>
      </w:r>
    </w:p>
    <w:p w:rsidR="008134C8" w:rsidRDefault="008134C8" w:rsidP="008134C8">
      <w:pPr>
        <w:ind w:left="709"/>
      </w:pPr>
      <w:r>
        <w:t>funcionalidad para la web. Javascript tiene todo el poder necesario para proveer</w:t>
      </w:r>
    </w:p>
    <w:p w:rsidR="00174518" w:rsidRDefault="008134C8" w:rsidP="008134C8">
      <w:pPr>
        <w:ind w:left="709"/>
      </w:pPr>
      <w:r>
        <w:t xml:space="preserve">dinamismo y construir aplicaciones web completamente funcionales. </w:t>
      </w:r>
      <w:sdt>
        <w:sdtPr>
          <w:id w:val="-1563782244"/>
          <w:citation/>
        </w:sdtPr>
        <w:sdtContent>
          <w:r w:rsidR="009F0001">
            <w:fldChar w:fldCharType="begin"/>
          </w:r>
          <w:r w:rsidR="009F0001">
            <w:instrText xml:space="preserve"> CITATION Gau12 \l 11274 </w:instrText>
          </w:r>
          <w:r w:rsidR="009F0001">
            <w:fldChar w:fldCharType="separate"/>
          </w:r>
          <w:r w:rsidR="00151E33">
            <w:rPr>
              <w:noProof/>
            </w:rPr>
            <w:t>(Gauchat, 2012)</w:t>
          </w:r>
          <w:r w:rsidR="009F0001">
            <w:fldChar w:fldCharType="end"/>
          </w:r>
        </w:sdtContent>
      </w:sdt>
      <w:r>
        <w:t>(p.18-19)</w:t>
      </w:r>
    </w:p>
    <w:p w:rsidR="009F0001" w:rsidRDefault="00AB0492" w:rsidP="00AB0492">
      <w:pPr>
        <w:ind w:left="709"/>
      </w:pPr>
      <w:r>
        <w:t xml:space="preserve">MySQL es la base de datos de código abierto más popular del mundo. Con su rendimiento, confiabilidad y facilidad de uso comprobados, MySQL se ha convertido en la principal opción de base de datos para aplicaciones basadas en web, utilizada por propiedades web de alto perfil como Facebook, Twitter, YouTube, Yahoo! y muchos más. Oracle impulsa la innovación de MySQL, brindando nuevas capacidades para impulsar aplicaciones web, en la nube, móviles e integradas de próxima generación. </w:t>
      </w:r>
      <w:sdt>
        <w:sdtPr>
          <w:id w:val="-1731687970"/>
          <w:citation/>
        </w:sdtPr>
        <w:sdtContent>
          <w:r>
            <w:fldChar w:fldCharType="begin"/>
          </w:r>
          <w:r>
            <w:instrText xml:space="preserve"> CITATION Ora21 \l 11274 </w:instrText>
          </w:r>
          <w:r>
            <w:fldChar w:fldCharType="separate"/>
          </w:r>
          <w:r w:rsidR="00151E33">
            <w:rPr>
              <w:noProof/>
            </w:rPr>
            <w:t>(Oracle, 2021)</w:t>
          </w:r>
          <w:r>
            <w:fldChar w:fldCharType="end"/>
          </w:r>
        </w:sdtContent>
      </w:sdt>
    </w:p>
    <w:p w:rsidR="0037080D" w:rsidRDefault="0037080D" w:rsidP="00AB0492">
      <w:pPr>
        <w:ind w:left="709"/>
      </w:pPr>
      <w:r w:rsidRPr="0037080D">
        <w:t>Blockchain es una tecnología diseñada para administrar un registro de datos online, caracterizada por ser transparente y prácticamente incorruptible.</w:t>
      </w:r>
      <w:r>
        <w:t xml:space="preserve"> </w:t>
      </w:r>
      <w:r w:rsidRPr="0037080D">
        <w:t xml:space="preserve">A </w:t>
      </w:r>
      <w:r w:rsidRPr="0037080D">
        <w:lastRenderedPageBreak/>
        <w:t>grandes rasgos, Blockchain se puede pensar como un libro contable, una bitácora o una base de datos donde solo se puede ingresar entradas nuevas y donde todas las existentes no se pueden modificar ni eliminar. Esas entradas, llamadas transacciones, se agrupan en bloques que se van agregando, sucesivamente, al registro en forma de cadena secuencial, cada uno de ellos relacionado necesariamente con el anterior.</w:t>
      </w:r>
      <w:r>
        <w:t xml:space="preserve"> </w:t>
      </w:r>
      <w:r w:rsidRPr="0037080D">
        <w:t>En ese esquema, si quisiéramos corregir información ya registrada, solo lo podemos hacer mediante el agregado de nueva información. Los datos originales siempre van a permanecer y pueden ser fiscalizados en cualquier momento.</w:t>
      </w:r>
      <w:r>
        <w:t xml:space="preserve"> </w:t>
      </w:r>
      <w:sdt>
        <w:sdtPr>
          <w:id w:val="1072155776"/>
          <w:citation/>
        </w:sdtPr>
        <w:sdtContent>
          <w:r>
            <w:fldChar w:fldCharType="begin"/>
          </w:r>
          <w:r>
            <w:instrText xml:space="preserve"> CITATION Blo21 \l 11274 </w:instrText>
          </w:r>
          <w:r>
            <w:fldChar w:fldCharType="separate"/>
          </w:r>
          <w:r w:rsidR="00151E33">
            <w:rPr>
              <w:noProof/>
            </w:rPr>
            <w:t>(Argentina, 2021)</w:t>
          </w:r>
          <w:r>
            <w:fldChar w:fldCharType="end"/>
          </w:r>
        </w:sdtContent>
      </w:sdt>
    </w:p>
    <w:p w:rsidR="009F0001" w:rsidRPr="006B6B9B" w:rsidRDefault="009F0001" w:rsidP="008134C8">
      <w:pPr>
        <w:ind w:left="709"/>
      </w:pPr>
    </w:p>
    <w:p w:rsidR="003203E3" w:rsidRDefault="003203E3" w:rsidP="003203E3">
      <w:pPr>
        <w:pStyle w:val="Subtitle"/>
      </w:pPr>
      <w:r>
        <w:t>Competencia</w:t>
      </w:r>
    </w:p>
    <w:p w:rsidR="0037080D" w:rsidRDefault="0037080D" w:rsidP="0037080D">
      <w:r>
        <w:tab/>
      </w:r>
      <w:r w:rsidR="00661813">
        <w:t xml:space="preserve">En la ciudad de Brooklyn, Estados Unidos, hay un prototipo de intercambio de energía entre pares que fue puesto en marcha por las empresas LO3, Consensys y Siemens en 2016. La participación por parte de particulares se realiza con sistemas de generación de energía renovable domiciliarios y a través de una plataforma llamada Exergy en la que se facilita las transacciones de igual a igual con contratos inteligentes. </w:t>
      </w:r>
      <w:sdt>
        <w:sdtPr>
          <w:id w:val="1364790257"/>
          <w:citation/>
        </w:sdtPr>
        <w:sdtContent>
          <w:r w:rsidR="00661813">
            <w:fldChar w:fldCharType="begin"/>
          </w:r>
          <w:r w:rsidR="00661813">
            <w:instrText xml:space="preserve"> CITATION Bro21 \l 11274 </w:instrText>
          </w:r>
          <w:r w:rsidR="00661813">
            <w:fldChar w:fldCharType="separate"/>
          </w:r>
          <w:r w:rsidR="00151E33">
            <w:rPr>
              <w:noProof/>
            </w:rPr>
            <w:t>(Brooklyn’s Blockchain-Enabled Energy Microgrid, 2021)</w:t>
          </w:r>
          <w:r w:rsidR="00661813">
            <w:fldChar w:fldCharType="end"/>
          </w:r>
        </w:sdtContent>
      </w:sdt>
    </w:p>
    <w:p w:rsidR="00612501" w:rsidRDefault="00612501" w:rsidP="0037080D">
      <w:r>
        <w:tab/>
        <w:t xml:space="preserve">En Argentina, en la ciudad de Armstrong, Santa </w:t>
      </w:r>
      <w:r w:rsidR="0056288C">
        <w:t>Fe</w:t>
      </w:r>
      <w:r>
        <w:t xml:space="preserve">, se desarrolla un proyecto piloto </w:t>
      </w:r>
      <w:r w:rsidR="0069031E">
        <w:t xml:space="preserve">impulsado por el INTI, CELAR y UTN, </w:t>
      </w:r>
      <w:r>
        <w:t xml:space="preserve">para la generación </w:t>
      </w:r>
      <w:r w:rsidR="00AD3BDA">
        <w:t xml:space="preserve">distribuida </w:t>
      </w:r>
      <w:r>
        <w:t>de</w:t>
      </w:r>
      <w:r w:rsidR="00AD3BDA">
        <w:t xml:space="preserve"> energía con paneles fotovoltaicos. E</w:t>
      </w:r>
      <w:r w:rsidR="00FE434F">
        <w:t xml:space="preserve">l </w:t>
      </w:r>
      <w:r w:rsidR="008D083A">
        <w:t>P</w:t>
      </w:r>
      <w:r w:rsidR="00FE434F">
        <w:t xml:space="preserve">royecto </w:t>
      </w:r>
      <w:r w:rsidR="008D083A">
        <w:t>de Redes Inteligentes con Energ</w:t>
      </w:r>
      <w:r w:rsidR="0069031E">
        <w:t>í</w:t>
      </w:r>
      <w:r w:rsidR="008D083A">
        <w:t xml:space="preserve">as Renovables (PIER) </w:t>
      </w:r>
      <w:r w:rsidR="00FE434F">
        <w:t>cuenta con la participación techos urbanos para la generación</w:t>
      </w:r>
      <w:r w:rsidR="0069031E">
        <w:t>,</w:t>
      </w:r>
      <w:r w:rsidR="00FE434F">
        <w:t xml:space="preserve"> una planta de una hectárea e</w:t>
      </w:r>
      <w:r w:rsidR="0069031E">
        <w:t xml:space="preserve">n zona industrial de la ciudad, medidores inteligentes instalados en los domicilios y equipos inalámbricos instalados estratégicamente en la red eléctrica para su monitoreo. </w:t>
      </w:r>
      <w:sdt>
        <w:sdtPr>
          <w:id w:val="-389801262"/>
          <w:citation/>
        </w:sdtPr>
        <w:sdtContent>
          <w:r w:rsidR="009859DB">
            <w:fldChar w:fldCharType="begin"/>
          </w:r>
          <w:r w:rsidR="009859DB">
            <w:instrText xml:space="preserve"> CITATION Cóm18 \l 11274 </w:instrText>
          </w:r>
          <w:r w:rsidR="009859DB">
            <w:fldChar w:fldCharType="separate"/>
          </w:r>
          <w:r w:rsidR="00151E33">
            <w:rPr>
              <w:noProof/>
            </w:rPr>
            <w:t>(¿Cómo funciona la primera red eléctrica inteligente de Argentina?, 2018)</w:t>
          </w:r>
          <w:r w:rsidR="009859DB">
            <w:fldChar w:fldCharType="end"/>
          </w:r>
        </w:sdtContent>
      </w:sdt>
      <w:sdt>
        <w:sdtPr>
          <w:id w:val="-1201701280"/>
          <w:citation/>
        </w:sdtPr>
        <w:sdtContent>
          <w:r w:rsidR="009859DB">
            <w:fldChar w:fldCharType="begin"/>
          </w:r>
          <w:r w:rsidR="009859DB">
            <w:instrText xml:space="preserve"> CITATION IGC16 \l 11274 </w:instrText>
          </w:r>
          <w:r w:rsidR="009859DB">
            <w:fldChar w:fldCharType="separate"/>
          </w:r>
          <w:r w:rsidR="00151E33">
            <w:rPr>
              <w:noProof/>
            </w:rPr>
            <w:t xml:space="preserve"> (IGC Pier Armstrong, 2016)</w:t>
          </w:r>
          <w:r w:rsidR="009859DB">
            <w:fldChar w:fldCharType="end"/>
          </w:r>
        </w:sdtContent>
      </w:sdt>
    </w:p>
    <w:p w:rsidR="00661813" w:rsidRPr="0037080D" w:rsidRDefault="00661813" w:rsidP="0037080D"/>
    <w:p w:rsidR="003203E3" w:rsidRDefault="003203E3" w:rsidP="00EF1062">
      <w:pPr>
        <w:pStyle w:val="Title"/>
        <w:spacing w:line="360" w:lineRule="auto"/>
      </w:pPr>
      <w:r>
        <w:t>Diseño Metodológico</w:t>
      </w:r>
    </w:p>
    <w:p w:rsidR="009859DB" w:rsidRDefault="00757DC4" w:rsidP="00757DC4">
      <w:pPr>
        <w:pStyle w:val="Subtitle"/>
      </w:pPr>
      <w:r>
        <w:t>Herramientas metodológicas</w:t>
      </w:r>
    </w:p>
    <w:p w:rsidR="00757DC4" w:rsidRDefault="00757DC4" w:rsidP="00757DC4">
      <w:r>
        <w:tab/>
        <w:t xml:space="preserve">Se utilizó Scrum para el desarrollo de la aplicación. Según </w:t>
      </w:r>
      <w:r w:rsidR="0018721D">
        <w:t xml:space="preserve">describe su creador </w:t>
      </w:r>
      <w:sdt>
        <w:sdtPr>
          <w:id w:val="1815150667"/>
          <w:citation/>
        </w:sdtPr>
        <w:sdtContent>
          <w:r w:rsidR="0018721D">
            <w:fldChar w:fldCharType="begin"/>
          </w:r>
          <w:r w:rsidR="0018721D">
            <w:instrText xml:space="preserve"> CITATION Jef10 \l 11274 </w:instrText>
          </w:r>
          <w:r w:rsidR="0018721D">
            <w:fldChar w:fldCharType="separate"/>
          </w:r>
          <w:r w:rsidR="00151E33">
            <w:rPr>
              <w:noProof/>
            </w:rPr>
            <w:t>(Sutherland’s, 2010)</w:t>
          </w:r>
          <w:r w:rsidR="0018721D">
            <w:fldChar w:fldCharType="end"/>
          </w:r>
        </w:sdtContent>
      </w:sdt>
    </w:p>
    <w:p w:rsidR="00757DC4" w:rsidRDefault="0018721D" w:rsidP="00757DC4">
      <w:pPr>
        <w:ind w:firstLine="709"/>
      </w:pPr>
      <w:r>
        <w:t xml:space="preserve">Las </w:t>
      </w:r>
      <w:r w:rsidR="00757DC4">
        <w:t xml:space="preserve">estructuras Scrum </w:t>
      </w:r>
      <w:r>
        <w:t xml:space="preserve">se desarrollan </w:t>
      </w:r>
      <w:r w:rsidR="00757DC4">
        <w:t xml:space="preserve">en ciclos de trabajo denominados </w:t>
      </w:r>
      <w:r w:rsidR="0056288C">
        <w:t>Sprint</w:t>
      </w:r>
      <w:r w:rsidR="00757DC4">
        <w:t>.</w:t>
      </w:r>
    </w:p>
    <w:p w:rsidR="00757DC4" w:rsidRDefault="00757DC4" w:rsidP="0018721D">
      <w:pPr>
        <w:ind w:left="709"/>
      </w:pPr>
      <w:r>
        <w:lastRenderedPageBreak/>
        <w:t>Estas iteraciones duran menos de un mes y, por lo general,</w:t>
      </w:r>
      <w:r w:rsidR="0018721D">
        <w:t xml:space="preserve"> </w:t>
      </w:r>
      <w:r>
        <w:t xml:space="preserve">medido en semanas. Los </w:t>
      </w:r>
      <w:r w:rsidR="0056288C">
        <w:t>Sprint</w:t>
      </w:r>
      <w:r>
        <w:t xml:space="preserve"> se</w:t>
      </w:r>
      <w:r w:rsidR="0018721D">
        <w:t xml:space="preserve"> llevan a cabo uno tras otro. </w:t>
      </w:r>
      <w:r>
        <w:t xml:space="preserve">Los </w:t>
      </w:r>
      <w:r w:rsidR="0056288C">
        <w:t>Sprint</w:t>
      </w:r>
      <w:r>
        <w:t xml:space="preserve"> son de duración fija: terminan en una fecha específica si</w:t>
      </w:r>
      <w:r w:rsidR="0018721D">
        <w:t xml:space="preserve"> </w:t>
      </w:r>
      <w:r>
        <w:t>el trabajo se ha completado o no, y nunca se amplían. Por eso,</w:t>
      </w:r>
      <w:r w:rsidR="0018721D">
        <w:t xml:space="preserve"> </w:t>
      </w:r>
      <w:r>
        <w:t>se dice que t</w:t>
      </w:r>
      <w:r>
        <w:t>ienen un tiempo limitado</w:t>
      </w:r>
      <w:r>
        <w:t>.</w:t>
      </w:r>
      <w:r w:rsidR="0018721D">
        <w:t xml:space="preserve"> (p.6)</w:t>
      </w:r>
    </w:p>
    <w:p w:rsidR="0018721D" w:rsidRDefault="0018721D" w:rsidP="0018721D">
      <w:pPr>
        <w:ind w:left="709"/>
      </w:pPr>
    </w:p>
    <w:p w:rsidR="0018721D" w:rsidRDefault="0018721D" w:rsidP="0018721D">
      <w:pPr>
        <w:pStyle w:val="Subtitle"/>
      </w:pPr>
      <w:r>
        <w:t>Recolección de Datos</w:t>
      </w:r>
    </w:p>
    <w:p w:rsidR="0018721D" w:rsidRDefault="0018721D" w:rsidP="0018721D">
      <w:r>
        <w:tab/>
        <w:t xml:space="preserve">Se utilizaron </w:t>
      </w:r>
      <w:r w:rsidR="00FB3E06">
        <w:t xml:space="preserve">muestras de </w:t>
      </w:r>
      <w:r>
        <w:t xml:space="preserve">medidores inteligentes de energía </w:t>
      </w:r>
      <w:r w:rsidR="00FB3E06">
        <w:t>de prueba, medidores de corriente sobre punto estratégicos en la red eléctrica. Así mismo ser realizaron entrevistas a clientes que participaron de la prueba sobre preferencias de uso.</w:t>
      </w:r>
    </w:p>
    <w:p w:rsidR="00FB3E06" w:rsidRDefault="00FB3E06" w:rsidP="0018721D"/>
    <w:p w:rsidR="00FB3E06" w:rsidRDefault="00FB3E06" w:rsidP="00FB3E06">
      <w:pPr>
        <w:pStyle w:val="Subtitle"/>
      </w:pPr>
      <w:r>
        <w:t>Herramientas de software</w:t>
      </w:r>
    </w:p>
    <w:p w:rsidR="00FB3E06" w:rsidRDefault="00FB3E06" w:rsidP="00FB3E06">
      <w:r>
        <w:tab/>
        <w:t>Se han utilizado las siguientes herramientas para el desarrollo de la aplicación.</w:t>
      </w:r>
    </w:p>
    <w:p w:rsidR="00913C45" w:rsidRDefault="00FB3E06" w:rsidP="00FB3E06">
      <w:r>
        <w:tab/>
        <w:t xml:space="preserve">MySQL como motor de base de datos, debido a su confiabilidad y flexibilidad en el desarrollo de aplicaciones web. Laravel fue el framework elegido para el desarrollo back-end por su versatilidad y gran apoyo de la comunidad con gran variedad de librerías. Vue.js es la librería utilizada para el desarrollo front-end </w:t>
      </w:r>
      <w:r w:rsidR="00913C45">
        <w:t xml:space="preserve">por su fácil curva de aprendizaje ya que básicamente se utiliza con </w:t>
      </w:r>
      <w:r w:rsidR="0056288C">
        <w:t>J</w:t>
      </w:r>
      <w:r w:rsidR="00913C45">
        <w:t>avascript vainilla. El IDE utilizado para la escritura de código fue Visual Studio Code por ser un standard en la industria y buen apoyo con librerías que existe.</w:t>
      </w:r>
    </w:p>
    <w:p w:rsidR="002534AB" w:rsidRDefault="002534AB" w:rsidP="00FB3E06"/>
    <w:p w:rsidR="00FB3E06" w:rsidRDefault="002534AB" w:rsidP="002534AB">
      <w:pPr>
        <w:pStyle w:val="Subtitle"/>
      </w:pPr>
      <w:r>
        <w:t>Planificación</w:t>
      </w:r>
      <w:r w:rsidR="00913C45">
        <w:t xml:space="preserve"> </w:t>
      </w:r>
    </w:p>
    <w:p w:rsidR="002534AB" w:rsidRDefault="002534AB" w:rsidP="002534AB">
      <w:r>
        <w:tab/>
        <w:t>Se re</w:t>
      </w:r>
      <w:r w:rsidR="0041332E">
        <w:t>alizó la siguiente planificación para el proyecto:</w:t>
      </w:r>
    </w:p>
    <w:p w:rsidR="0041332E" w:rsidRPr="0041332E" w:rsidRDefault="0041332E" w:rsidP="0041332E">
      <w:pPr>
        <w:pStyle w:val="Caption"/>
        <w:keepNext/>
        <w:rPr>
          <w:i w:val="0"/>
          <w:color w:val="auto"/>
          <w:sz w:val="24"/>
          <w:szCs w:val="24"/>
        </w:rPr>
      </w:pPr>
      <w:r w:rsidRPr="0041332E">
        <w:rPr>
          <w:i w:val="0"/>
          <w:color w:val="auto"/>
          <w:sz w:val="24"/>
          <w:szCs w:val="24"/>
        </w:rPr>
        <w:lastRenderedPageBreak/>
        <w:t xml:space="preserve">Ilustración </w:t>
      </w:r>
      <w:r w:rsidRPr="0041332E">
        <w:rPr>
          <w:i w:val="0"/>
          <w:color w:val="auto"/>
          <w:sz w:val="24"/>
          <w:szCs w:val="24"/>
        </w:rPr>
        <w:fldChar w:fldCharType="begin"/>
      </w:r>
      <w:r w:rsidRPr="0041332E">
        <w:rPr>
          <w:i w:val="0"/>
          <w:color w:val="auto"/>
          <w:sz w:val="24"/>
          <w:szCs w:val="24"/>
        </w:rPr>
        <w:instrText xml:space="preserve"> SEQ Ilustración \* ARABIC </w:instrText>
      </w:r>
      <w:r w:rsidRPr="0041332E">
        <w:rPr>
          <w:i w:val="0"/>
          <w:color w:val="auto"/>
          <w:sz w:val="24"/>
          <w:szCs w:val="24"/>
        </w:rPr>
        <w:fldChar w:fldCharType="separate"/>
      </w:r>
      <w:r w:rsidR="007A5F5A">
        <w:rPr>
          <w:i w:val="0"/>
          <w:noProof/>
          <w:color w:val="auto"/>
          <w:sz w:val="24"/>
          <w:szCs w:val="24"/>
        </w:rPr>
        <w:t>4</w:t>
      </w:r>
      <w:r w:rsidRPr="0041332E">
        <w:rPr>
          <w:i w:val="0"/>
          <w:color w:val="auto"/>
          <w:sz w:val="24"/>
          <w:szCs w:val="24"/>
        </w:rPr>
        <w:fldChar w:fldCharType="end"/>
      </w:r>
      <w:r w:rsidRPr="0041332E">
        <w:rPr>
          <w:i w:val="0"/>
          <w:color w:val="auto"/>
          <w:sz w:val="24"/>
          <w:szCs w:val="24"/>
        </w:rPr>
        <w:t>. Diagrama de Gantt de Planificación. Fuente: elaboración Propia</w:t>
      </w:r>
    </w:p>
    <w:p w:rsidR="0041332E" w:rsidRPr="002534AB" w:rsidRDefault="0041332E" w:rsidP="002534AB">
      <w:r>
        <w:object w:dxaOrig="16201" w:dyaOrig="906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424.5pt;height:237.5pt" o:ole="">
            <v:imagedata r:id="rId11" o:title=""/>
          </v:shape>
          <o:OLEObject Type="Embed" ProgID="Visio.Drawing.15" ShapeID="_x0000_i1028" DrawAspect="Content" ObjectID="_1681500553" r:id="rId12"/>
        </w:object>
      </w:r>
    </w:p>
    <w:p w:rsidR="0041332E" w:rsidRDefault="0041332E" w:rsidP="00EF1062">
      <w:pPr>
        <w:pStyle w:val="Title"/>
        <w:spacing w:line="360" w:lineRule="auto"/>
      </w:pPr>
    </w:p>
    <w:p w:rsidR="003203E3" w:rsidRDefault="00EF1062" w:rsidP="00EF1062">
      <w:pPr>
        <w:pStyle w:val="Title"/>
        <w:spacing w:line="360" w:lineRule="auto"/>
      </w:pPr>
      <w:r>
        <w:t>Relevamiento</w:t>
      </w:r>
    </w:p>
    <w:p w:rsidR="0041332E" w:rsidRDefault="0041332E" w:rsidP="0041332E">
      <w:r>
        <w:tab/>
        <w:t xml:space="preserve">El relevamiento se realizó sobre una organización modelada, ya que no se encuentran empresas similares a disposición para </w:t>
      </w:r>
      <w:r w:rsidR="00FB621E">
        <w:t>tomar como referencia</w:t>
      </w:r>
      <w:r w:rsidR="00006A5F">
        <w:t>.</w:t>
      </w:r>
    </w:p>
    <w:p w:rsidR="00006A5F" w:rsidRPr="0041332E" w:rsidRDefault="00006A5F" w:rsidP="0041332E"/>
    <w:p w:rsidR="00945A4D" w:rsidRDefault="00945A4D" w:rsidP="00945A4D">
      <w:pPr>
        <w:pStyle w:val="Subtitle"/>
      </w:pPr>
      <w:r>
        <w:t>Relevamiento Estructural</w:t>
      </w:r>
    </w:p>
    <w:p w:rsidR="006868D2" w:rsidRDefault="0041332E" w:rsidP="0041332E">
      <w:r>
        <w:tab/>
      </w:r>
      <w:r w:rsidR="00FB621E">
        <w:t>Se diseñó una organización modela de acuerdo a las necesidades estimadas que podría tener la organización.</w:t>
      </w:r>
    </w:p>
    <w:p w:rsidR="006868D2" w:rsidRPr="006868D2" w:rsidRDefault="006868D2" w:rsidP="006868D2">
      <w:pPr>
        <w:pStyle w:val="Caption"/>
        <w:keepNext/>
        <w:rPr>
          <w:i w:val="0"/>
          <w:color w:val="auto"/>
          <w:sz w:val="24"/>
          <w:szCs w:val="24"/>
        </w:rPr>
      </w:pPr>
      <w:r w:rsidRPr="006868D2">
        <w:rPr>
          <w:i w:val="0"/>
          <w:color w:val="auto"/>
          <w:sz w:val="24"/>
          <w:szCs w:val="24"/>
        </w:rPr>
        <w:t xml:space="preserve">Ilustración </w:t>
      </w:r>
      <w:r w:rsidRPr="006868D2">
        <w:rPr>
          <w:i w:val="0"/>
          <w:color w:val="auto"/>
          <w:sz w:val="24"/>
          <w:szCs w:val="24"/>
        </w:rPr>
        <w:fldChar w:fldCharType="begin"/>
      </w:r>
      <w:r w:rsidRPr="006868D2">
        <w:rPr>
          <w:i w:val="0"/>
          <w:color w:val="auto"/>
          <w:sz w:val="24"/>
          <w:szCs w:val="24"/>
        </w:rPr>
        <w:instrText xml:space="preserve"> SEQ Ilustración \* ARABIC </w:instrText>
      </w:r>
      <w:r w:rsidRPr="006868D2">
        <w:rPr>
          <w:i w:val="0"/>
          <w:color w:val="auto"/>
          <w:sz w:val="24"/>
          <w:szCs w:val="24"/>
        </w:rPr>
        <w:fldChar w:fldCharType="separate"/>
      </w:r>
      <w:r w:rsidR="007A5F5A">
        <w:rPr>
          <w:i w:val="0"/>
          <w:noProof/>
          <w:color w:val="auto"/>
          <w:sz w:val="24"/>
          <w:szCs w:val="24"/>
        </w:rPr>
        <w:t>5</w:t>
      </w:r>
      <w:r w:rsidRPr="006868D2">
        <w:rPr>
          <w:i w:val="0"/>
          <w:color w:val="auto"/>
          <w:sz w:val="24"/>
          <w:szCs w:val="24"/>
        </w:rPr>
        <w:fldChar w:fldCharType="end"/>
      </w:r>
      <w:r w:rsidRPr="006868D2">
        <w:rPr>
          <w:i w:val="0"/>
          <w:color w:val="auto"/>
          <w:sz w:val="24"/>
          <w:szCs w:val="24"/>
        </w:rPr>
        <w:t>. Organigrama. Fuente: elaboración propia.</w:t>
      </w:r>
    </w:p>
    <w:p w:rsidR="0041332E" w:rsidRDefault="006868D2" w:rsidP="0041332E">
      <w:r>
        <w:object w:dxaOrig="12735" w:dyaOrig="6106">
          <v:shape id="_x0000_i1030" type="#_x0000_t75" style="width:424.5pt;height:203.5pt" o:ole="">
            <v:imagedata r:id="rId13" o:title=""/>
          </v:shape>
          <o:OLEObject Type="Embed" ProgID="Visio.Drawing.15" ShapeID="_x0000_i1030" DrawAspect="Content" ObjectID="_1681500554" r:id="rId14"/>
        </w:object>
      </w:r>
    </w:p>
    <w:p w:rsidR="00094841" w:rsidRDefault="00094841" w:rsidP="0041332E">
      <w:r>
        <w:lastRenderedPageBreak/>
        <w:tab/>
        <w:t xml:space="preserve">El CEO es el encargado de la toma de decisiones estratégicas de la empresa, </w:t>
      </w:r>
      <w:r w:rsidR="0056288C">
        <w:t>así</w:t>
      </w:r>
      <w:r>
        <w:t xml:space="preserve"> como también tomará el rol de proveer futuros negocios a la empresa.</w:t>
      </w:r>
    </w:p>
    <w:p w:rsidR="00094841" w:rsidRDefault="00094841" w:rsidP="0041332E">
      <w:r>
        <w:tab/>
        <w:t>El Gerente Técnico tendrá a cargo la operación técnica en la que se incluye e</w:t>
      </w:r>
      <w:r w:rsidR="0056288C">
        <w:t>l equipo de desarrollo y testeo</w:t>
      </w:r>
      <w:r>
        <w:t>, la infraestructura informática dentro y fuera de la oficina.</w:t>
      </w:r>
    </w:p>
    <w:p w:rsidR="00094841" w:rsidRDefault="00094841" w:rsidP="0041332E">
      <w:r>
        <w:tab/>
        <w:t>El Gerente Financiero asumirá la tarea de administrar la economía, las finanzas, los activos y los pasivos de la empresa.</w:t>
      </w:r>
    </w:p>
    <w:p w:rsidR="00094841" w:rsidRDefault="00094841" w:rsidP="0041332E">
      <w:r>
        <w:tab/>
        <w:t>El Gerente de Recursos Humanos estará a cargo de la administración de personal, las liquidaciones de sueldo y nuevas contrataciones.</w:t>
      </w:r>
    </w:p>
    <w:p w:rsidR="0070019F" w:rsidRDefault="0070019F" w:rsidP="0041332E">
      <w:r>
        <w:tab/>
        <w:t>No existió hardware relevado por ser una organización modelada.</w:t>
      </w:r>
    </w:p>
    <w:p w:rsidR="00094841" w:rsidRPr="0041332E" w:rsidRDefault="00094841" w:rsidP="0041332E">
      <w:r>
        <w:tab/>
      </w:r>
    </w:p>
    <w:p w:rsidR="00945A4D" w:rsidRDefault="00945A4D" w:rsidP="00945A4D">
      <w:pPr>
        <w:pStyle w:val="Subtitle"/>
      </w:pPr>
      <w:r>
        <w:t>Relevamiento Funcional</w:t>
      </w:r>
    </w:p>
    <w:p w:rsidR="0070019F" w:rsidRDefault="0070019F" w:rsidP="0070019F">
      <w:r>
        <w:tab/>
      </w:r>
      <w:r w:rsidR="008D3C38">
        <w:t>No hay procesos directamente relacionados con el áreas o funciones de la organización, ya los mismo son automáticos y correrán automáticamente de acuerdo a las preferencias del cliente.</w:t>
      </w:r>
    </w:p>
    <w:p w:rsidR="008D3C38" w:rsidRDefault="008D3C38" w:rsidP="0070019F">
      <w:r>
        <w:tab/>
        <w:t>Se encuentran las siguientes entidades intervinientes:</w:t>
      </w:r>
    </w:p>
    <w:p w:rsidR="008D3C38" w:rsidRDefault="00151E33" w:rsidP="008D3C38">
      <w:pPr>
        <w:pStyle w:val="ListParagraph"/>
        <w:numPr>
          <w:ilvl w:val="0"/>
          <w:numId w:val="2"/>
        </w:numPr>
      </w:pPr>
      <w:r>
        <w:t xml:space="preserve">Controlador </w:t>
      </w:r>
      <w:r w:rsidR="0056288C">
        <w:t>Microgrid</w:t>
      </w:r>
      <w:r>
        <w:t xml:space="preserve"> </w:t>
      </w:r>
      <w:r>
        <w:t>Local (MC)</w:t>
      </w:r>
    </w:p>
    <w:p w:rsidR="00151E33" w:rsidRDefault="00151E33" w:rsidP="008D3C38">
      <w:pPr>
        <w:pStyle w:val="ListParagraph"/>
        <w:numPr>
          <w:ilvl w:val="0"/>
          <w:numId w:val="2"/>
        </w:numPr>
      </w:pPr>
      <w:r>
        <w:t>Controlador Microgrid General (MGCC)</w:t>
      </w:r>
    </w:p>
    <w:p w:rsidR="00151E33" w:rsidRDefault="00E815F2" w:rsidP="008D3C38">
      <w:pPr>
        <w:pStyle w:val="ListParagraph"/>
        <w:numPr>
          <w:ilvl w:val="0"/>
          <w:numId w:val="2"/>
        </w:numPr>
      </w:pPr>
      <w:r>
        <w:t>Medidor / Lector Automático de consumo.</w:t>
      </w:r>
    </w:p>
    <w:p w:rsidR="00E815F2" w:rsidRDefault="00E815F2" w:rsidP="008D3C38">
      <w:pPr>
        <w:pStyle w:val="ListParagraph"/>
        <w:numPr>
          <w:ilvl w:val="0"/>
          <w:numId w:val="2"/>
        </w:numPr>
      </w:pPr>
      <w:r>
        <w:t>Blockchain.</w:t>
      </w:r>
    </w:p>
    <w:p w:rsidR="00E815F2" w:rsidRDefault="00C03D8E" w:rsidP="003B70D9">
      <w:pPr>
        <w:ind w:left="360" w:firstLine="349"/>
      </w:pPr>
      <w:r>
        <w:t>Se identifican los siguientes procesos:</w:t>
      </w:r>
    </w:p>
    <w:p w:rsidR="00C03D8E" w:rsidRDefault="006F02E6" w:rsidP="00C03D8E">
      <w:pPr>
        <w:pStyle w:val="ListParagraph"/>
        <w:numPr>
          <w:ilvl w:val="0"/>
          <w:numId w:val="4"/>
        </w:numPr>
      </w:pPr>
      <w:r>
        <w:t>Informa</w:t>
      </w:r>
      <w:r w:rsidR="00C03D8E">
        <w:t>r precios de mercado.</w:t>
      </w:r>
    </w:p>
    <w:p w:rsidR="00C03D8E" w:rsidRDefault="00C03D8E" w:rsidP="00C03D8E">
      <w:pPr>
        <w:pStyle w:val="ListParagraph"/>
        <w:numPr>
          <w:ilvl w:val="0"/>
          <w:numId w:val="4"/>
        </w:numPr>
      </w:pPr>
      <w:r>
        <w:t>Ofertar energía.</w:t>
      </w:r>
    </w:p>
    <w:p w:rsidR="00C03D8E" w:rsidRDefault="00C03D8E" w:rsidP="00C03D8E">
      <w:pPr>
        <w:pStyle w:val="ListParagraph"/>
        <w:numPr>
          <w:ilvl w:val="0"/>
          <w:numId w:val="4"/>
        </w:numPr>
      </w:pPr>
      <w:r>
        <w:t>Confirmar contrato de energía.</w:t>
      </w:r>
    </w:p>
    <w:p w:rsidR="003B70D9" w:rsidRDefault="003B70D9" w:rsidP="00C03D8E">
      <w:pPr>
        <w:pStyle w:val="ListParagraph"/>
        <w:numPr>
          <w:ilvl w:val="0"/>
          <w:numId w:val="4"/>
        </w:numPr>
      </w:pPr>
      <w:r>
        <w:t xml:space="preserve">Auditar contrato </w:t>
      </w:r>
      <w:r w:rsidR="005F0C23">
        <w:t xml:space="preserve">inteligente </w:t>
      </w:r>
      <w:r>
        <w:t>de energía.</w:t>
      </w:r>
    </w:p>
    <w:p w:rsidR="00C03D8E" w:rsidRDefault="00C03D8E" w:rsidP="003B70D9">
      <w:pPr>
        <w:ind w:left="360" w:firstLine="349"/>
      </w:pPr>
      <w:r>
        <w:t>Se desarroll</w:t>
      </w:r>
      <w:r w:rsidR="006F02E6">
        <w:t>ará</w:t>
      </w:r>
      <w:r>
        <w:t>n los procesos enumerados anteriormente:</w:t>
      </w:r>
    </w:p>
    <w:p w:rsidR="00C03D8E" w:rsidRDefault="00C03D8E" w:rsidP="003B70D9">
      <w:pPr>
        <w:ind w:left="360" w:firstLine="349"/>
      </w:pPr>
      <w:r>
        <w:t>Proceso: Informar precios de mercado.</w:t>
      </w:r>
    </w:p>
    <w:p w:rsidR="00C03D8E" w:rsidRDefault="00C03D8E" w:rsidP="003B70D9">
      <w:pPr>
        <w:ind w:left="360" w:firstLine="349"/>
      </w:pPr>
      <w:r>
        <w:t>Roles: MC y MGCC.</w:t>
      </w:r>
    </w:p>
    <w:p w:rsidR="00C03D8E" w:rsidRDefault="00C03D8E" w:rsidP="003B70D9">
      <w:pPr>
        <w:ind w:left="360" w:firstLine="349"/>
      </w:pPr>
      <w:r>
        <w:t>Ejecución: El MGCC calcula un precio de unidad de energía (</w:t>
      </w:r>
      <w:r w:rsidR="006F02E6">
        <w:t>Watt por hora W/h</w:t>
      </w:r>
      <w:r>
        <w:t>)</w:t>
      </w:r>
      <w:r w:rsidR="006F02E6">
        <w:t xml:space="preserve"> </w:t>
      </w:r>
      <w:r>
        <w:t>por un periodo de 15 minutos. Este cálculo lo realiza en base a</w:t>
      </w:r>
      <w:r w:rsidR="003B70D9">
        <w:t xml:space="preserve"> </w:t>
      </w:r>
      <w:r>
        <w:t>l</w:t>
      </w:r>
      <w:r w:rsidR="003B70D9">
        <w:t xml:space="preserve">as estadísticas de consumo, aporte que realiza la generación distribuida en la microgrid </w:t>
      </w:r>
      <w:r w:rsidR="0000121E">
        <w:t>e</w:t>
      </w:r>
      <w:r w:rsidR="003B70D9">
        <w:t xml:space="preserve"> incidencia solar pronosticada en el horario </w:t>
      </w:r>
      <w:r w:rsidR="003B70D9">
        <w:t>para el horario en cuestión</w:t>
      </w:r>
      <w:r>
        <w:t xml:space="preserve">. Si el consumo del período implica tener que utilizar energía de la red externa a microgrid </w:t>
      </w:r>
      <w:r>
        <w:lastRenderedPageBreak/>
        <w:t xml:space="preserve">el valor de la unidad </w:t>
      </w:r>
      <w:r w:rsidR="006F02E6">
        <w:t>de energía es el más alto. El caso inverso es que haya un excedente en la energía de la microgrid, en este caso tomaría en valor más bajo. El proceso finaliza con una comunicación de los precios de mercado y del horario a cubrir a</w:t>
      </w:r>
      <w:r w:rsidR="003B70D9">
        <w:t xml:space="preserve"> todos los</w:t>
      </w:r>
      <w:r w:rsidR="006F02E6">
        <w:t xml:space="preserve"> MC</w:t>
      </w:r>
      <w:r w:rsidR="003B70D9">
        <w:t>s</w:t>
      </w:r>
      <w:r w:rsidR="006F02E6">
        <w:t>.</w:t>
      </w:r>
    </w:p>
    <w:p w:rsidR="003B70D9" w:rsidRDefault="003B70D9" w:rsidP="006F02E6">
      <w:pPr>
        <w:ind w:left="360"/>
      </w:pPr>
    </w:p>
    <w:p w:rsidR="006F02E6" w:rsidRDefault="006F02E6" w:rsidP="003B70D9">
      <w:pPr>
        <w:ind w:left="360" w:firstLine="349"/>
      </w:pPr>
      <w:r>
        <w:t>Proceso. Ofertar Energía</w:t>
      </w:r>
    </w:p>
    <w:p w:rsidR="006F02E6" w:rsidRDefault="006F02E6" w:rsidP="003B70D9">
      <w:pPr>
        <w:ind w:left="360" w:firstLine="349"/>
      </w:pPr>
      <w:r>
        <w:t>Roles: MGCC y MC</w:t>
      </w:r>
    </w:p>
    <w:p w:rsidR="006F02E6" w:rsidRDefault="006F02E6" w:rsidP="003B70D9">
      <w:pPr>
        <w:ind w:left="360" w:firstLine="349"/>
      </w:pPr>
      <w:r>
        <w:t xml:space="preserve">Ejecución: El MC en base a los precios de mercado, decide deshacerse de carga a la microgrid. </w:t>
      </w:r>
      <w:r w:rsidR="003B70D9">
        <w:t>Para lo cual envía una licitación u oferta al MGCC indicando cuanta energía tiene disponible para el período.</w:t>
      </w:r>
    </w:p>
    <w:p w:rsidR="003B70D9" w:rsidRDefault="003B70D9" w:rsidP="003B70D9">
      <w:pPr>
        <w:ind w:left="360" w:firstLine="349"/>
      </w:pPr>
    </w:p>
    <w:p w:rsidR="003B70D9" w:rsidRDefault="003B70D9" w:rsidP="003B70D9">
      <w:pPr>
        <w:ind w:left="360" w:firstLine="349"/>
      </w:pPr>
      <w:r>
        <w:t>Proceso: Confirmar contrato de energía</w:t>
      </w:r>
    </w:p>
    <w:p w:rsidR="003B70D9" w:rsidRDefault="003B70D9" w:rsidP="003B70D9">
      <w:pPr>
        <w:ind w:left="360" w:firstLine="349"/>
      </w:pPr>
      <w:r>
        <w:t>Roles: MGCC y MC</w:t>
      </w:r>
    </w:p>
    <w:p w:rsidR="003B70D9" w:rsidRDefault="003B70D9" w:rsidP="003B70D9">
      <w:pPr>
        <w:ind w:left="360" w:firstLine="349"/>
      </w:pPr>
      <w:r>
        <w:t xml:space="preserve">Ejecución: El MGCC envía un mensaje de respuesta al MC que realizó una oferta confirmando o denegando </w:t>
      </w:r>
      <w:r w:rsidR="005F0C23">
        <w:t>la contratación de energía. En caso de denegarse no se realiza ninguna acción más. En caso de confirmarse se realizará un contrato inteligente con una transacción en la Blockchain y el MC queda comprometido a servir la energía durante el período acordado.</w:t>
      </w:r>
    </w:p>
    <w:p w:rsidR="005F0C23" w:rsidRDefault="005F0C23" w:rsidP="003B70D9">
      <w:pPr>
        <w:ind w:left="360" w:firstLine="349"/>
      </w:pPr>
    </w:p>
    <w:p w:rsidR="005F0C23" w:rsidRDefault="005F0C23" w:rsidP="003B70D9">
      <w:pPr>
        <w:ind w:left="360" w:firstLine="349"/>
      </w:pPr>
      <w:r>
        <w:t>Proceso: Auditar contrato inteligente de energía</w:t>
      </w:r>
    </w:p>
    <w:p w:rsidR="005F0C23" w:rsidRDefault="005F0C23" w:rsidP="003B70D9">
      <w:pPr>
        <w:ind w:left="360" w:firstLine="349"/>
      </w:pPr>
      <w:r>
        <w:t>Roles: MGCC y ARM</w:t>
      </w:r>
    </w:p>
    <w:p w:rsidR="005F0C23" w:rsidRPr="0070019F" w:rsidRDefault="005F0C23" w:rsidP="003B70D9">
      <w:pPr>
        <w:ind w:left="360" w:firstLine="349"/>
      </w:pPr>
      <w:r>
        <w:t>Ejecución: El MGCC validará la ejecución correcta del contrato</w:t>
      </w:r>
      <w:r w:rsidR="00CA1EC8">
        <w:t>, leyendo consumos informados por el ARM (validados en Blockchain)</w:t>
      </w:r>
      <w:r>
        <w:t xml:space="preserve">. En caso que el contrato se haya cumplido se informa a la cuenta corriente adicionar el monto del contrato. En caso de no haberse cumplido se procederá a penalizar el MC </w:t>
      </w:r>
      <w:r w:rsidR="00D55D6D">
        <w:t>por el no cumplimiento.</w:t>
      </w:r>
    </w:p>
    <w:p w:rsidR="00006A5F" w:rsidRPr="00006A5F" w:rsidRDefault="00006A5F" w:rsidP="00006A5F">
      <w:r>
        <w:tab/>
      </w:r>
    </w:p>
    <w:p w:rsidR="00945A4D" w:rsidRDefault="00945A4D" w:rsidP="00945A4D">
      <w:pPr>
        <w:pStyle w:val="Subtitle"/>
      </w:pPr>
      <w:r>
        <w:t>Relevamiento de Documentación</w:t>
      </w:r>
    </w:p>
    <w:p w:rsidR="00C63B61" w:rsidRPr="00C63B61" w:rsidRDefault="00C63B61" w:rsidP="00C63B61"/>
    <w:p w:rsidR="00EF1062" w:rsidRDefault="00EF1062" w:rsidP="00EF1062">
      <w:pPr>
        <w:pStyle w:val="Title"/>
      </w:pPr>
      <w:r>
        <w:t xml:space="preserve">Proceso </w:t>
      </w:r>
      <w:r w:rsidR="00945A4D">
        <w:t>d</w:t>
      </w:r>
      <w:r>
        <w:t>e Negocio</w:t>
      </w:r>
      <w:r w:rsidR="00945A4D">
        <w:t>s</w:t>
      </w:r>
    </w:p>
    <w:p w:rsidR="00F02E9E" w:rsidRDefault="00F02E9E" w:rsidP="00F02E9E"/>
    <w:p w:rsidR="00044018" w:rsidRDefault="00044018" w:rsidP="00F02E9E">
      <w:r>
        <w:tab/>
        <w:t xml:space="preserve">Se adjunta el </w:t>
      </w:r>
      <w:r w:rsidR="007A5F5A">
        <w:t xml:space="preserve">flujograma de acuerdo al relevamiento funcional. </w:t>
      </w:r>
    </w:p>
    <w:p w:rsidR="007A5F5A" w:rsidRPr="007A5F5A" w:rsidRDefault="007A5F5A" w:rsidP="007A5F5A">
      <w:pPr>
        <w:pStyle w:val="Caption"/>
        <w:keepNext/>
        <w:rPr>
          <w:i w:val="0"/>
          <w:color w:val="auto"/>
          <w:sz w:val="24"/>
          <w:szCs w:val="24"/>
        </w:rPr>
      </w:pPr>
      <w:r w:rsidRPr="007A5F5A">
        <w:rPr>
          <w:i w:val="0"/>
          <w:color w:val="auto"/>
          <w:sz w:val="24"/>
          <w:szCs w:val="24"/>
        </w:rPr>
        <w:lastRenderedPageBreak/>
        <w:t xml:space="preserve">Ilustración </w:t>
      </w:r>
      <w:r w:rsidRPr="007A5F5A">
        <w:rPr>
          <w:i w:val="0"/>
          <w:color w:val="auto"/>
          <w:sz w:val="24"/>
          <w:szCs w:val="24"/>
        </w:rPr>
        <w:fldChar w:fldCharType="begin"/>
      </w:r>
      <w:r w:rsidRPr="007A5F5A">
        <w:rPr>
          <w:i w:val="0"/>
          <w:color w:val="auto"/>
          <w:sz w:val="24"/>
          <w:szCs w:val="24"/>
        </w:rPr>
        <w:instrText xml:space="preserve"> SEQ Ilustración \* ARABIC </w:instrText>
      </w:r>
      <w:r w:rsidRPr="007A5F5A">
        <w:rPr>
          <w:i w:val="0"/>
          <w:color w:val="auto"/>
          <w:sz w:val="24"/>
          <w:szCs w:val="24"/>
        </w:rPr>
        <w:fldChar w:fldCharType="separate"/>
      </w:r>
      <w:r w:rsidRPr="007A5F5A">
        <w:rPr>
          <w:i w:val="0"/>
          <w:noProof/>
          <w:color w:val="auto"/>
          <w:sz w:val="24"/>
          <w:szCs w:val="24"/>
        </w:rPr>
        <w:t>6</w:t>
      </w:r>
      <w:r w:rsidRPr="007A5F5A">
        <w:rPr>
          <w:i w:val="0"/>
          <w:color w:val="auto"/>
          <w:sz w:val="24"/>
          <w:szCs w:val="24"/>
        </w:rPr>
        <w:fldChar w:fldCharType="end"/>
      </w:r>
      <w:r w:rsidRPr="007A5F5A">
        <w:rPr>
          <w:i w:val="0"/>
          <w:color w:val="auto"/>
          <w:sz w:val="24"/>
          <w:szCs w:val="24"/>
        </w:rPr>
        <w:t>. Proceso de negocio. Fuente: Elaboración propia.</w:t>
      </w:r>
    </w:p>
    <w:p w:rsidR="007A5F5A" w:rsidRDefault="007A5F5A" w:rsidP="00F02E9E">
      <w:r>
        <w:object w:dxaOrig="8101" w:dyaOrig="10951">
          <v:shape id="_x0000_i1036" type="#_x0000_t75" style="width:405pt;height:547.5pt" o:ole="">
            <v:imagedata r:id="rId15" o:title=""/>
          </v:shape>
          <o:OLEObject Type="Embed" ProgID="Visio.Drawing.15" ShapeID="_x0000_i1036" DrawAspect="Content" ObjectID="_1681500555" r:id="rId16"/>
        </w:object>
      </w:r>
    </w:p>
    <w:sdt>
      <w:sdtPr>
        <w:rPr>
          <w:rFonts w:ascii="Times New Roman" w:eastAsiaTheme="minorHAnsi" w:hAnsi="Times New Roman" w:cstheme="minorBidi"/>
          <w:color w:val="auto"/>
          <w:sz w:val="24"/>
          <w:szCs w:val="22"/>
          <w:lang w:val="es-AR"/>
        </w:rPr>
        <w:id w:val="1803428109"/>
        <w:docPartObj>
          <w:docPartGallery w:val="Bibliographies"/>
          <w:docPartUnique/>
        </w:docPartObj>
      </w:sdtPr>
      <w:sdtContent>
        <w:p w:rsidR="00151E33" w:rsidRDefault="00151E33" w:rsidP="00151E33">
          <w:pPr>
            <w:pStyle w:val="Heading1"/>
            <w:jc w:val="center"/>
            <w:rPr>
              <w:rStyle w:val="TitleChar"/>
              <w:color w:val="auto"/>
              <w:lang w:val="es-AR"/>
            </w:rPr>
          </w:pPr>
          <w:r>
            <w:rPr>
              <w:rStyle w:val="TitleChar"/>
              <w:color w:val="auto"/>
              <w:lang w:val="es-AR"/>
            </w:rPr>
            <w:t>Referencias</w:t>
          </w:r>
        </w:p>
        <w:p w:rsidR="007A79C8" w:rsidRPr="007A79C8" w:rsidRDefault="007A79C8" w:rsidP="007A79C8"/>
        <w:sdt>
          <w:sdtPr>
            <w:id w:val="-573587230"/>
            <w:bibliography/>
          </w:sdtPr>
          <w:sdtContent>
            <w:p w:rsidR="00151E33" w:rsidRDefault="007A79C8" w:rsidP="00151E33">
              <w:pPr>
                <w:pStyle w:val="Bibliography"/>
                <w:ind w:left="720" w:hanging="720"/>
                <w:rPr>
                  <w:noProof/>
                  <w:szCs w:val="24"/>
                </w:rPr>
              </w:pPr>
              <w:r>
                <w:fldChar w:fldCharType="begin"/>
              </w:r>
              <w:r>
                <w:instrText xml:space="preserve"> BIBLIOGRAPHY </w:instrText>
              </w:r>
              <w:r>
                <w:fldChar w:fldCharType="separate"/>
              </w:r>
              <w:r w:rsidR="00151E33">
                <w:rPr>
                  <w:i/>
                  <w:iCs/>
                  <w:noProof/>
                </w:rPr>
                <w:t>¿Cómo funciona la primera red eléctrica inteligente de Argentina?</w:t>
              </w:r>
              <w:r w:rsidR="00151E33">
                <w:rPr>
                  <w:noProof/>
                </w:rPr>
                <w:t xml:space="preserve"> (14 de 07 de 2018). Obtenido de Infobae: https://www.infobae.com/def/desarrollo/2018/07/14/como-funciona-la-primera-red-electrica-inteligente-de-argentina/</w:t>
              </w:r>
            </w:p>
            <w:p w:rsidR="00151E33" w:rsidRDefault="00151E33" w:rsidP="00151E33">
              <w:pPr>
                <w:pStyle w:val="Bibliography"/>
                <w:ind w:left="720" w:hanging="720"/>
                <w:rPr>
                  <w:noProof/>
                </w:rPr>
              </w:pPr>
              <w:r>
                <w:rPr>
                  <w:noProof/>
                </w:rPr>
                <w:t xml:space="preserve">Argentina, B. f. (2021). </w:t>
              </w:r>
              <w:r>
                <w:rPr>
                  <w:i/>
                  <w:iCs/>
                  <w:noProof/>
                </w:rPr>
                <w:t>Blockchain federal Argentina</w:t>
              </w:r>
              <w:r>
                <w:rPr>
                  <w:noProof/>
                </w:rPr>
                <w:t>. Obtenido de Blockchain federal Argentina: https://bfa.ar/blockchain/blockchain</w:t>
              </w:r>
            </w:p>
            <w:p w:rsidR="00151E33" w:rsidRDefault="00151E33" w:rsidP="00151E33">
              <w:pPr>
                <w:pStyle w:val="Bibliography"/>
                <w:ind w:left="720" w:hanging="720"/>
                <w:rPr>
                  <w:noProof/>
                </w:rPr>
              </w:pPr>
              <w:r w:rsidRPr="00151E33">
                <w:rPr>
                  <w:i/>
                  <w:iCs/>
                  <w:noProof/>
                  <w:lang w:val="en-US"/>
                </w:rPr>
                <w:t>Brooklyn’s Blockchain-Enabled Energy Microgrid</w:t>
              </w:r>
              <w:r w:rsidRPr="00151E33">
                <w:rPr>
                  <w:noProof/>
                  <w:lang w:val="en-US"/>
                </w:rPr>
                <w:t xml:space="preserve">. </w:t>
              </w:r>
              <w:r>
                <w:rPr>
                  <w:noProof/>
                </w:rPr>
                <w:t>(2021). Obtenido de Global Opportunity Explorer: https://goexplorer.org/brooklyns-blockchain-enabled-energy-microgrid/</w:t>
              </w:r>
            </w:p>
            <w:p w:rsidR="00151E33" w:rsidRDefault="00151E33" w:rsidP="00151E33">
              <w:pPr>
                <w:pStyle w:val="Bibliography"/>
                <w:ind w:left="720" w:hanging="720"/>
                <w:rPr>
                  <w:noProof/>
                </w:rPr>
              </w:pPr>
              <w:r>
                <w:rPr>
                  <w:noProof/>
                </w:rPr>
                <w:t xml:space="preserve">CDE. (20 de 03 de 2020). </w:t>
              </w:r>
              <w:r>
                <w:rPr>
                  <w:i/>
                  <w:iCs/>
                  <w:noProof/>
                </w:rPr>
                <w:t>La energía renovable en Europa</w:t>
              </w:r>
              <w:r>
                <w:rPr>
                  <w:noProof/>
                </w:rPr>
                <w:t>. Obtenido de Centro de Documentación Europea de la Almería: https://bit.ly/2Pgxr53.</w:t>
              </w:r>
            </w:p>
            <w:p w:rsidR="00151E33" w:rsidRDefault="00151E33" w:rsidP="00151E33">
              <w:pPr>
                <w:pStyle w:val="Bibliography"/>
                <w:ind w:left="720" w:hanging="720"/>
                <w:rPr>
                  <w:noProof/>
                </w:rPr>
              </w:pPr>
              <w:r>
                <w:rPr>
                  <w:noProof/>
                </w:rPr>
                <w:t xml:space="preserve">Consejo, P. E. (5 de Junio de 2019). </w:t>
              </w:r>
              <w:r>
                <w:rPr>
                  <w:i/>
                  <w:iCs/>
                  <w:noProof/>
                </w:rPr>
                <w:t>Directiva (UE) 2019/944. .</w:t>
              </w:r>
              <w:r>
                <w:rPr>
                  <w:noProof/>
                </w:rPr>
                <w:t xml:space="preserve"> Obtenido de El acceso al Derecho de la Unión Europea: https://eur-lex.europa.eu/legal-content/ES/TXT/PDF/?uri=CELEX:32019L0944&amp;from=EN</w:t>
              </w:r>
            </w:p>
            <w:p w:rsidR="00151E33" w:rsidRDefault="00151E33" w:rsidP="00151E33">
              <w:pPr>
                <w:pStyle w:val="Bibliography"/>
                <w:ind w:left="720" w:hanging="720"/>
                <w:rPr>
                  <w:noProof/>
                </w:rPr>
              </w:pPr>
              <w:r>
                <w:rPr>
                  <w:noProof/>
                </w:rPr>
                <w:t xml:space="preserve">contributors, M. a. (2021). </w:t>
              </w:r>
              <w:r>
                <w:rPr>
                  <w:i/>
                  <w:iCs/>
                  <w:noProof/>
                </w:rPr>
                <w:t>Conceptos básicos de HTML</w:t>
              </w:r>
              <w:r>
                <w:rPr>
                  <w:noProof/>
                </w:rPr>
                <w:t>. Obtenido de MDN web Docs: https://developer.mozilla.org/es/docs/Learn/Getting_started_with_the_web/HTML_basics</w:t>
              </w:r>
            </w:p>
            <w:p w:rsidR="00151E33" w:rsidRPr="00151E33" w:rsidRDefault="00151E33" w:rsidP="00151E33">
              <w:pPr>
                <w:pStyle w:val="Bibliography"/>
                <w:ind w:left="720" w:hanging="720"/>
                <w:rPr>
                  <w:noProof/>
                  <w:lang w:val="en-US"/>
                </w:rPr>
              </w:pPr>
              <w:r>
                <w:rPr>
                  <w:noProof/>
                </w:rPr>
                <w:t xml:space="preserve">Gauchat, J. D. (2012). </w:t>
              </w:r>
              <w:r>
                <w:rPr>
                  <w:i/>
                  <w:iCs/>
                  <w:noProof/>
                </w:rPr>
                <w:t>El gran libro de HTML5, CSS3 y Javascript.</w:t>
              </w:r>
              <w:r>
                <w:rPr>
                  <w:noProof/>
                </w:rPr>
                <w:t xml:space="preserve"> </w:t>
              </w:r>
              <w:r w:rsidRPr="00151E33">
                <w:rPr>
                  <w:noProof/>
                  <w:lang w:val="en-US"/>
                </w:rPr>
                <w:t>Barcelona: MARCOMBO.</w:t>
              </w:r>
            </w:p>
            <w:p w:rsidR="00151E33" w:rsidRPr="00151E33" w:rsidRDefault="00151E33" w:rsidP="00151E33">
              <w:pPr>
                <w:pStyle w:val="Bibliography"/>
                <w:ind w:left="720" w:hanging="720"/>
                <w:rPr>
                  <w:noProof/>
                  <w:lang w:val="en-US"/>
                </w:rPr>
              </w:pPr>
              <w:r w:rsidRPr="00151E33">
                <w:rPr>
                  <w:noProof/>
                  <w:lang w:val="en-US"/>
                </w:rPr>
                <w:t xml:space="preserve">Hatziargyriou, N. (2014). </w:t>
              </w:r>
              <w:r w:rsidRPr="00151E33">
                <w:rPr>
                  <w:i/>
                  <w:iCs/>
                  <w:noProof/>
                  <w:lang w:val="en-US"/>
                </w:rPr>
                <w:t>Microgrid: architectures and control.</w:t>
              </w:r>
              <w:r w:rsidRPr="00151E33">
                <w:rPr>
                  <w:noProof/>
                  <w:lang w:val="en-US"/>
                </w:rPr>
                <w:t xml:space="preserve"> Union Kingdom: John Wiley and Sons Ltd.</w:t>
              </w:r>
            </w:p>
            <w:p w:rsidR="00151E33" w:rsidRDefault="00151E33" w:rsidP="00151E33">
              <w:pPr>
                <w:pStyle w:val="Bibliography"/>
                <w:ind w:left="720" w:hanging="720"/>
                <w:rPr>
                  <w:noProof/>
                </w:rPr>
              </w:pPr>
              <w:r>
                <w:rPr>
                  <w:i/>
                  <w:iCs/>
                  <w:noProof/>
                </w:rPr>
                <w:t>IGC Pier Armstrong</w:t>
              </w:r>
              <w:r>
                <w:rPr>
                  <w:noProof/>
                </w:rPr>
                <w:t>. (2016). Obtenido de IGC: http://igc.org.ar/prier/</w:t>
              </w:r>
            </w:p>
            <w:p w:rsidR="00151E33" w:rsidRDefault="00151E33" w:rsidP="00151E33">
              <w:pPr>
                <w:pStyle w:val="Bibliography"/>
                <w:ind w:left="720" w:hanging="720"/>
                <w:rPr>
                  <w:noProof/>
                </w:rPr>
              </w:pPr>
              <w:r>
                <w:rPr>
                  <w:noProof/>
                </w:rPr>
                <w:t xml:space="preserve">Oracle. (2021). </w:t>
              </w:r>
              <w:r>
                <w:rPr>
                  <w:i/>
                  <w:iCs/>
                  <w:noProof/>
                </w:rPr>
                <w:t>MySQL: About MySQL</w:t>
              </w:r>
              <w:r>
                <w:rPr>
                  <w:noProof/>
                </w:rPr>
                <w:t>. Obtenido de MySQL: https://www.mysql.com/about/</w:t>
              </w:r>
            </w:p>
            <w:p w:rsidR="00151E33" w:rsidRDefault="00151E33" w:rsidP="00151E33">
              <w:pPr>
                <w:pStyle w:val="Bibliography"/>
                <w:ind w:left="720" w:hanging="720"/>
                <w:rPr>
                  <w:noProof/>
                </w:rPr>
              </w:pPr>
              <w:r>
                <w:rPr>
                  <w:i/>
                  <w:iCs/>
                  <w:noProof/>
                </w:rPr>
                <w:t>PHP: ¿Que es PHP? Manual</w:t>
              </w:r>
              <w:r>
                <w:rPr>
                  <w:noProof/>
                </w:rPr>
                <w:t>. (s.f.). Obtenido de PHP: Hypertext Preprocessor: https://www.php.net/manual/es/intro-whatis.php</w:t>
              </w:r>
            </w:p>
            <w:p w:rsidR="00151E33" w:rsidRPr="00151E33" w:rsidRDefault="00151E33" w:rsidP="00151E33">
              <w:pPr>
                <w:pStyle w:val="Bibliography"/>
                <w:ind w:left="720" w:hanging="720"/>
                <w:rPr>
                  <w:noProof/>
                  <w:lang w:val="en-US"/>
                </w:rPr>
              </w:pPr>
              <w:r w:rsidRPr="00151E33">
                <w:rPr>
                  <w:noProof/>
                  <w:lang w:val="en-US"/>
                </w:rPr>
                <w:t xml:space="preserve">Sutherland’s, J. (2010). </w:t>
              </w:r>
              <w:r w:rsidRPr="00151E33">
                <w:rPr>
                  <w:i/>
                  <w:iCs/>
                  <w:noProof/>
                  <w:lang w:val="en-US"/>
                </w:rPr>
                <w:t>Scrum Handbook.</w:t>
              </w:r>
              <w:r w:rsidRPr="00151E33">
                <w:rPr>
                  <w:noProof/>
                  <w:lang w:val="en-US"/>
                </w:rPr>
                <w:t xml:space="preserve"> Boston: Scrum Training Institute Press.</w:t>
              </w:r>
            </w:p>
            <w:p w:rsidR="00815BF0" w:rsidRPr="00815BF0" w:rsidRDefault="007A79C8" w:rsidP="00151E33">
              <w:r>
                <w:rPr>
                  <w:b/>
                  <w:bCs/>
                  <w:noProof/>
                </w:rPr>
                <w:fldChar w:fldCharType="end"/>
              </w:r>
            </w:p>
          </w:sdtContent>
        </w:sdt>
      </w:sdtContent>
    </w:sdt>
    <w:sectPr w:rsidR="00815BF0" w:rsidRPr="00815BF0" w:rsidSect="00045A51">
      <w:headerReference w:type="default" r:id="rId17"/>
      <w:pgSz w:w="11906" w:h="16838"/>
      <w:pgMar w:top="1701" w:right="1701" w:bottom="1701"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E04DC" w:rsidRDefault="001E04DC" w:rsidP="00045A51">
      <w:pPr>
        <w:spacing w:line="240" w:lineRule="auto"/>
      </w:pPr>
      <w:r>
        <w:separator/>
      </w:r>
    </w:p>
  </w:endnote>
  <w:endnote w:type="continuationSeparator" w:id="0">
    <w:p w:rsidR="001E04DC" w:rsidRDefault="001E04DC" w:rsidP="00045A5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E04DC" w:rsidRDefault="001E04DC" w:rsidP="00045A51">
      <w:pPr>
        <w:spacing w:line="240" w:lineRule="auto"/>
      </w:pPr>
      <w:r>
        <w:separator/>
      </w:r>
    </w:p>
  </w:footnote>
  <w:footnote w:type="continuationSeparator" w:id="0">
    <w:p w:rsidR="001E04DC" w:rsidRDefault="001E04DC" w:rsidP="00045A5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D083A" w:rsidRDefault="008D083A">
    <w:pPr>
      <w:pStyle w:val="Header"/>
      <w:jc w:val="right"/>
    </w:pPr>
    <w:r>
      <w:t xml:space="preserve">Página: </w:t>
    </w:r>
    <w:sdt>
      <w:sdtPr>
        <w:id w:val="162586771"/>
        <w:docPartObj>
          <w:docPartGallery w:val="Page Numbers (Top of Page)"/>
          <w:docPartUnique/>
        </w:docPartObj>
      </w:sdtPr>
      <w:sdtEndPr>
        <w:rPr>
          <w:noProof/>
        </w:rPr>
      </w:sdtEndPr>
      <w:sdtContent>
        <w:r>
          <w:fldChar w:fldCharType="begin"/>
        </w:r>
        <w:r>
          <w:instrText xml:space="preserve"> PAGE   \* MERGEFORMAT </w:instrText>
        </w:r>
        <w:r>
          <w:fldChar w:fldCharType="separate"/>
        </w:r>
        <w:r w:rsidR="0056288C">
          <w:rPr>
            <w:noProof/>
          </w:rPr>
          <w:t>20</w:t>
        </w:r>
        <w:r>
          <w:rPr>
            <w:noProof/>
          </w:rPr>
          <w:fldChar w:fldCharType="end"/>
        </w:r>
      </w:sdtContent>
    </w:sdt>
  </w:p>
  <w:p w:rsidR="008D083A" w:rsidRDefault="008D083A">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F03167"/>
    <w:multiLevelType w:val="hybridMultilevel"/>
    <w:tmpl w:val="FE48B890"/>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 w15:restartNumberingAfterBreak="0">
    <w:nsid w:val="2FF03DFD"/>
    <w:multiLevelType w:val="hybridMultilevel"/>
    <w:tmpl w:val="B7F6E59C"/>
    <w:lvl w:ilvl="0" w:tplc="2C0A000F">
      <w:start w:val="1"/>
      <w:numFmt w:val="decimal"/>
      <w:lvlText w:val="%1."/>
      <w:lvlJc w:val="left"/>
      <w:pPr>
        <w:ind w:left="1080" w:hanging="360"/>
      </w:p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2" w15:restartNumberingAfterBreak="0">
    <w:nsid w:val="3085238C"/>
    <w:multiLevelType w:val="hybridMultilevel"/>
    <w:tmpl w:val="DCA678F4"/>
    <w:lvl w:ilvl="0" w:tplc="947E4600">
      <w:start w:val="1"/>
      <w:numFmt w:val="decimal"/>
      <w:lvlText w:val="%1."/>
      <w:lvlJc w:val="left"/>
      <w:pPr>
        <w:ind w:left="1065" w:hanging="360"/>
      </w:pPr>
      <w:rPr>
        <w:rFonts w:cstheme="minorBidi" w:hint="default"/>
      </w:rPr>
    </w:lvl>
    <w:lvl w:ilvl="1" w:tplc="2C0A0019" w:tentative="1">
      <w:start w:val="1"/>
      <w:numFmt w:val="lowerLetter"/>
      <w:lvlText w:val="%2."/>
      <w:lvlJc w:val="left"/>
      <w:pPr>
        <w:ind w:left="1785" w:hanging="360"/>
      </w:pPr>
    </w:lvl>
    <w:lvl w:ilvl="2" w:tplc="2C0A001B" w:tentative="1">
      <w:start w:val="1"/>
      <w:numFmt w:val="lowerRoman"/>
      <w:lvlText w:val="%3."/>
      <w:lvlJc w:val="right"/>
      <w:pPr>
        <w:ind w:left="2505" w:hanging="180"/>
      </w:pPr>
    </w:lvl>
    <w:lvl w:ilvl="3" w:tplc="2C0A000F" w:tentative="1">
      <w:start w:val="1"/>
      <w:numFmt w:val="decimal"/>
      <w:lvlText w:val="%4."/>
      <w:lvlJc w:val="left"/>
      <w:pPr>
        <w:ind w:left="3225" w:hanging="360"/>
      </w:pPr>
    </w:lvl>
    <w:lvl w:ilvl="4" w:tplc="2C0A0019" w:tentative="1">
      <w:start w:val="1"/>
      <w:numFmt w:val="lowerLetter"/>
      <w:lvlText w:val="%5."/>
      <w:lvlJc w:val="left"/>
      <w:pPr>
        <w:ind w:left="3945" w:hanging="360"/>
      </w:pPr>
    </w:lvl>
    <w:lvl w:ilvl="5" w:tplc="2C0A001B" w:tentative="1">
      <w:start w:val="1"/>
      <w:numFmt w:val="lowerRoman"/>
      <w:lvlText w:val="%6."/>
      <w:lvlJc w:val="right"/>
      <w:pPr>
        <w:ind w:left="4665" w:hanging="180"/>
      </w:pPr>
    </w:lvl>
    <w:lvl w:ilvl="6" w:tplc="2C0A000F" w:tentative="1">
      <w:start w:val="1"/>
      <w:numFmt w:val="decimal"/>
      <w:lvlText w:val="%7."/>
      <w:lvlJc w:val="left"/>
      <w:pPr>
        <w:ind w:left="5385" w:hanging="360"/>
      </w:pPr>
    </w:lvl>
    <w:lvl w:ilvl="7" w:tplc="2C0A0019" w:tentative="1">
      <w:start w:val="1"/>
      <w:numFmt w:val="lowerLetter"/>
      <w:lvlText w:val="%8."/>
      <w:lvlJc w:val="left"/>
      <w:pPr>
        <w:ind w:left="6105" w:hanging="360"/>
      </w:pPr>
    </w:lvl>
    <w:lvl w:ilvl="8" w:tplc="2C0A001B" w:tentative="1">
      <w:start w:val="1"/>
      <w:numFmt w:val="lowerRoman"/>
      <w:lvlText w:val="%9."/>
      <w:lvlJc w:val="right"/>
      <w:pPr>
        <w:ind w:left="6825" w:hanging="180"/>
      </w:pPr>
    </w:lvl>
  </w:abstractNum>
  <w:abstractNum w:abstractNumId="3" w15:restartNumberingAfterBreak="0">
    <w:nsid w:val="7727649A"/>
    <w:multiLevelType w:val="hybridMultilevel"/>
    <w:tmpl w:val="44A26C2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proofState w:spelling="clean" w:grammar="clean"/>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6A96"/>
    <w:rsid w:val="0000121E"/>
    <w:rsid w:val="00006A5F"/>
    <w:rsid w:val="00011A81"/>
    <w:rsid w:val="00044018"/>
    <w:rsid w:val="00045A51"/>
    <w:rsid w:val="00046944"/>
    <w:rsid w:val="00057781"/>
    <w:rsid w:val="00094841"/>
    <w:rsid w:val="000A06F0"/>
    <w:rsid w:val="000B1716"/>
    <w:rsid w:val="000B6515"/>
    <w:rsid w:val="000D5658"/>
    <w:rsid w:val="000D5C62"/>
    <w:rsid w:val="000E17E9"/>
    <w:rsid w:val="000E3FD7"/>
    <w:rsid w:val="00151E33"/>
    <w:rsid w:val="001603AE"/>
    <w:rsid w:val="00161E83"/>
    <w:rsid w:val="00174518"/>
    <w:rsid w:val="0018721D"/>
    <w:rsid w:val="00191724"/>
    <w:rsid w:val="001C10DF"/>
    <w:rsid w:val="001C4E88"/>
    <w:rsid w:val="001E04DC"/>
    <w:rsid w:val="002534AB"/>
    <w:rsid w:val="00263E5A"/>
    <w:rsid w:val="00266E23"/>
    <w:rsid w:val="002739FC"/>
    <w:rsid w:val="00294718"/>
    <w:rsid w:val="002D485E"/>
    <w:rsid w:val="0030749E"/>
    <w:rsid w:val="003203E3"/>
    <w:rsid w:val="00325153"/>
    <w:rsid w:val="0037080D"/>
    <w:rsid w:val="003A7275"/>
    <w:rsid w:val="003B70D9"/>
    <w:rsid w:val="003D5176"/>
    <w:rsid w:val="003F39A9"/>
    <w:rsid w:val="003F4E6F"/>
    <w:rsid w:val="0041332E"/>
    <w:rsid w:val="00484DC9"/>
    <w:rsid w:val="0049333F"/>
    <w:rsid w:val="004C6A62"/>
    <w:rsid w:val="004E501B"/>
    <w:rsid w:val="00531C1A"/>
    <w:rsid w:val="00544E91"/>
    <w:rsid w:val="0056288C"/>
    <w:rsid w:val="00580B6C"/>
    <w:rsid w:val="0058546F"/>
    <w:rsid w:val="005D3519"/>
    <w:rsid w:val="005F0C23"/>
    <w:rsid w:val="005F29A2"/>
    <w:rsid w:val="00612501"/>
    <w:rsid w:val="00612CCB"/>
    <w:rsid w:val="00623B41"/>
    <w:rsid w:val="006426F5"/>
    <w:rsid w:val="00661813"/>
    <w:rsid w:val="006868D2"/>
    <w:rsid w:val="0069031E"/>
    <w:rsid w:val="006B6B9B"/>
    <w:rsid w:val="006C3351"/>
    <w:rsid w:val="006E4722"/>
    <w:rsid w:val="006F02E6"/>
    <w:rsid w:val="006F4569"/>
    <w:rsid w:val="006F5391"/>
    <w:rsid w:val="006F659D"/>
    <w:rsid w:val="0070019F"/>
    <w:rsid w:val="00740AAA"/>
    <w:rsid w:val="00741576"/>
    <w:rsid w:val="00757DC4"/>
    <w:rsid w:val="007802AF"/>
    <w:rsid w:val="007A2131"/>
    <w:rsid w:val="007A5F5A"/>
    <w:rsid w:val="007A79C8"/>
    <w:rsid w:val="007E7F61"/>
    <w:rsid w:val="008134C8"/>
    <w:rsid w:val="00815BF0"/>
    <w:rsid w:val="0083528C"/>
    <w:rsid w:val="008568CF"/>
    <w:rsid w:val="008614E9"/>
    <w:rsid w:val="00871877"/>
    <w:rsid w:val="008A3CEF"/>
    <w:rsid w:val="008A5CB6"/>
    <w:rsid w:val="008B2811"/>
    <w:rsid w:val="008D083A"/>
    <w:rsid w:val="008D3C38"/>
    <w:rsid w:val="00913C45"/>
    <w:rsid w:val="00932B19"/>
    <w:rsid w:val="00936A96"/>
    <w:rsid w:val="00945A4D"/>
    <w:rsid w:val="00963110"/>
    <w:rsid w:val="00967523"/>
    <w:rsid w:val="00983F63"/>
    <w:rsid w:val="009859DB"/>
    <w:rsid w:val="009C776C"/>
    <w:rsid w:val="009F0001"/>
    <w:rsid w:val="00A34107"/>
    <w:rsid w:val="00A35EC7"/>
    <w:rsid w:val="00A775CD"/>
    <w:rsid w:val="00AA5D64"/>
    <w:rsid w:val="00AB0492"/>
    <w:rsid w:val="00AD3BDA"/>
    <w:rsid w:val="00B115D2"/>
    <w:rsid w:val="00B12DE5"/>
    <w:rsid w:val="00B206FD"/>
    <w:rsid w:val="00BB7173"/>
    <w:rsid w:val="00BC23FE"/>
    <w:rsid w:val="00C03D8E"/>
    <w:rsid w:val="00C32AF8"/>
    <w:rsid w:val="00C60945"/>
    <w:rsid w:val="00C63B61"/>
    <w:rsid w:val="00CA1EC8"/>
    <w:rsid w:val="00CB7ABD"/>
    <w:rsid w:val="00CD311E"/>
    <w:rsid w:val="00D02D1B"/>
    <w:rsid w:val="00D07BFE"/>
    <w:rsid w:val="00D55D6D"/>
    <w:rsid w:val="00D64406"/>
    <w:rsid w:val="00D96343"/>
    <w:rsid w:val="00E2406C"/>
    <w:rsid w:val="00E43160"/>
    <w:rsid w:val="00E654CA"/>
    <w:rsid w:val="00E815F2"/>
    <w:rsid w:val="00E824D6"/>
    <w:rsid w:val="00EE1CF1"/>
    <w:rsid w:val="00EE5C64"/>
    <w:rsid w:val="00EF1062"/>
    <w:rsid w:val="00F02E9E"/>
    <w:rsid w:val="00F61470"/>
    <w:rsid w:val="00FB3159"/>
    <w:rsid w:val="00FB3E06"/>
    <w:rsid w:val="00FB621E"/>
    <w:rsid w:val="00FE434F"/>
    <w:rsid w:val="00FE652B"/>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F8D89D"/>
  <w15:chartTrackingRefBased/>
  <w15:docId w15:val="{E5D5E703-659D-4DF9-8CC3-6ABCEA36E2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AR" w:eastAsia="en-US" w:bidi="ar-SA"/>
      </w:rPr>
    </w:rPrDefault>
    <w:pPrDefault>
      <w:pPr>
        <w:spacing w:line="360" w:lineRule="auto"/>
        <w:jc w:val="center"/>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F1062"/>
    <w:pPr>
      <w:jc w:val="left"/>
    </w:pPr>
    <w:rPr>
      <w:rFonts w:ascii="Times New Roman" w:hAnsi="Times New Roman"/>
      <w:sz w:val="24"/>
    </w:rPr>
  </w:style>
  <w:style w:type="paragraph" w:styleId="Heading1">
    <w:name w:val="heading 1"/>
    <w:basedOn w:val="Normal"/>
    <w:next w:val="Normal"/>
    <w:link w:val="Heading1Char"/>
    <w:uiPriority w:val="9"/>
    <w:qFormat/>
    <w:rsid w:val="00815BF0"/>
    <w:pPr>
      <w:keepNext/>
      <w:keepLines/>
      <w:spacing w:before="240" w:line="259" w:lineRule="auto"/>
      <w:outlineLvl w:val="0"/>
    </w:pPr>
    <w:rPr>
      <w:rFonts w:asciiTheme="majorHAnsi" w:eastAsiaTheme="majorEastAsia" w:hAnsiTheme="majorHAnsi" w:cstheme="majorBidi"/>
      <w:color w:val="2E74B5" w:themeColor="accent1" w:themeShade="BF"/>
      <w:sz w:val="32"/>
      <w:szCs w:val="3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84DC9"/>
    <w:pPr>
      <w:spacing w:line="240" w:lineRule="auto"/>
      <w:contextualSpacing/>
      <w:jc w:val="center"/>
    </w:pPr>
    <w:rPr>
      <w:rFonts w:eastAsiaTheme="majorEastAsia" w:cstheme="majorBidi"/>
      <w:b/>
      <w:spacing w:val="-10"/>
      <w:kern w:val="28"/>
      <w:sz w:val="28"/>
      <w:szCs w:val="56"/>
    </w:rPr>
  </w:style>
  <w:style w:type="character" w:customStyle="1" w:styleId="TitleChar">
    <w:name w:val="Title Char"/>
    <w:basedOn w:val="DefaultParagraphFont"/>
    <w:link w:val="Title"/>
    <w:uiPriority w:val="10"/>
    <w:rsid w:val="00484DC9"/>
    <w:rPr>
      <w:rFonts w:ascii="Times New Roman" w:eastAsiaTheme="majorEastAsia" w:hAnsi="Times New Roman" w:cstheme="majorBidi"/>
      <w:b/>
      <w:spacing w:val="-10"/>
      <w:kern w:val="28"/>
      <w:sz w:val="28"/>
      <w:szCs w:val="56"/>
    </w:rPr>
  </w:style>
  <w:style w:type="paragraph" w:styleId="Subtitle">
    <w:name w:val="Subtitle"/>
    <w:basedOn w:val="Normal"/>
    <w:next w:val="Normal"/>
    <w:link w:val="SubtitleChar"/>
    <w:autoRedefine/>
    <w:uiPriority w:val="11"/>
    <w:qFormat/>
    <w:rsid w:val="00EF1062"/>
    <w:pPr>
      <w:numPr>
        <w:ilvl w:val="1"/>
      </w:numPr>
      <w:jc w:val="both"/>
    </w:pPr>
    <w:rPr>
      <w:rFonts w:eastAsiaTheme="minorEastAsia"/>
      <w:i/>
      <w:spacing w:val="15"/>
    </w:rPr>
  </w:style>
  <w:style w:type="character" w:customStyle="1" w:styleId="SubtitleChar">
    <w:name w:val="Subtitle Char"/>
    <w:basedOn w:val="DefaultParagraphFont"/>
    <w:link w:val="Subtitle"/>
    <w:uiPriority w:val="11"/>
    <w:rsid w:val="00EF1062"/>
    <w:rPr>
      <w:rFonts w:ascii="Times New Roman" w:eastAsiaTheme="minorEastAsia" w:hAnsi="Times New Roman"/>
      <w:i/>
      <w:spacing w:val="15"/>
      <w:sz w:val="24"/>
    </w:rPr>
  </w:style>
  <w:style w:type="paragraph" w:styleId="Header">
    <w:name w:val="header"/>
    <w:basedOn w:val="Normal"/>
    <w:link w:val="HeaderChar"/>
    <w:uiPriority w:val="99"/>
    <w:unhideWhenUsed/>
    <w:rsid w:val="00045A51"/>
    <w:pPr>
      <w:tabs>
        <w:tab w:val="center" w:pos="4252"/>
        <w:tab w:val="right" w:pos="8504"/>
      </w:tabs>
      <w:spacing w:line="240" w:lineRule="auto"/>
    </w:pPr>
  </w:style>
  <w:style w:type="character" w:customStyle="1" w:styleId="HeaderChar">
    <w:name w:val="Header Char"/>
    <w:basedOn w:val="DefaultParagraphFont"/>
    <w:link w:val="Header"/>
    <w:uiPriority w:val="99"/>
    <w:rsid w:val="00045A51"/>
    <w:rPr>
      <w:rFonts w:ascii="Times New Roman" w:hAnsi="Times New Roman"/>
      <w:sz w:val="24"/>
    </w:rPr>
  </w:style>
  <w:style w:type="paragraph" w:styleId="Footer">
    <w:name w:val="footer"/>
    <w:basedOn w:val="Normal"/>
    <w:link w:val="FooterChar"/>
    <w:uiPriority w:val="99"/>
    <w:unhideWhenUsed/>
    <w:rsid w:val="00045A51"/>
    <w:pPr>
      <w:tabs>
        <w:tab w:val="center" w:pos="4252"/>
        <w:tab w:val="right" w:pos="8504"/>
      </w:tabs>
      <w:spacing w:line="240" w:lineRule="auto"/>
    </w:pPr>
  </w:style>
  <w:style w:type="character" w:customStyle="1" w:styleId="FooterChar">
    <w:name w:val="Footer Char"/>
    <w:basedOn w:val="DefaultParagraphFont"/>
    <w:link w:val="Footer"/>
    <w:uiPriority w:val="99"/>
    <w:rsid w:val="00045A51"/>
    <w:rPr>
      <w:rFonts w:ascii="Times New Roman" w:hAnsi="Times New Roman"/>
      <w:sz w:val="24"/>
    </w:rPr>
  </w:style>
  <w:style w:type="character" w:styleId="Hyperlink">
    <w:name w:val="Hyperlink"/>
    <w:basedOn w:val="DefaultParagraphFont"/>
    <w:uiPriority w:val="99"/>
    <w:unhideWhenUsed/>
    <w:rsid w:val="00E824D6"/>
    <w:rPr>
      <w:color w:val="0563C1" w:themeColor="hyperlink"/>
      <w:u w:val="single"/>
    </w:rPr>
  </w:style>
  <w:style w:type="character" w:customStyle="1" w:styleId="Heading1Char">
    <w:name w:val="Heading 1 Char"/>
    <w:basedOn w:val="DefaultParagraphFont"/>
    <w:link w:val="Heading1"/>
    <w:uiPriority w:val="9"/>
    <w:rsid w:val="00815BF0"/>
    <w:rPr>
      <w:rFonts w:asciiTheme="majorHAnsi" w:eastAsiaTheme="majorEastAsia" w:hAnsiTheme="majorHAnsi" w:cstheme="majorBidi"/>
      <w:color w:val="2E74B5" w:themeColor="accent1" w:themeShade="BF"/>
      <w:sz w:val="32"/>
      <w:szCs w:val="32"/>
      <w:lang w:val="en-US"/>
    </w:rPr>
  </w:style>
  <w:style w:type="paragraph" w:styleId="Bibliography">
    <w:name w:val="Bibliography"/>
    <w:basedOn w:val="Normal"/>
    <w:next w:val="Normal"/>
    <w:uiPriority w:val="37"/>
    <w:unhideWhenUsed/>
    <w:rsid w:val="00815BF0"/>
  </w:style>
  <w:style w:type="paragraph" w:styleId="FootnoteText">
    <w:name w:val="footnote text"/>
    <w:basedOn w:val="Normal"/>
    <w:link w:val="FootnoteTextChar"/>
    <w:uiPriority w:val="99"/>
    <w:semiHidden/>
    <w:unhideWhenUsed/>
    <w:rsid w:val="00815BF0"/>
    <w:pPr>
      <w:spacing w:line="240" w:lineRule="auto"/>
    </w:pPr>
    <w:rPr>
      <w:sz w:val="20"/>
      <w:szCs w:val="20"/>
    </w:rPr>
  </w:style>
  <w:style w:type="character" w:customStyle="1" w:styleId="FootnoteTextChar">
    <w:name w:val="Footnote Text Char"/>
    <w:basedOn w:val="DefaultParagraphFont"/>
    <w:link w:val="FootnoteText"/>
    <w:uiPriority w:val="99"/>
    <w:semiHidden/>
    <w:rsid w:val="00815BF0"/>
    <w:rPr>
      <w:rFonts w:ascii="Times New Roman" w:hAnsi="Times New Roman"/>
      <w:sz w:val="20"/>
      <w:szCs w:val="20"/>
    </w:rPr>
  </w:style>
  <w:style w:type="character" w:styleId="FootnoteReference">
    <w:name w:val="footnote reference"/>
    <w:basedOn w:val="DefaultParagraphFont"/>
    <w:uiPriority w:val="99"/>
    <w:semiHidden/>
    <w:unhideWhenUsed/>
    <w:rsid w:val="00815BF0"/>
    <w:rPr>
      <w:vertAlign w:val="superscript"/>
    </w:rPr>
  </w:style>
  <w:style w:type="paragraph" w:styleId="ListParagraph">
    <w:name w:val="List Paragraph"/>
    <w:basedOn w:val="Normal"/>
    <w:uiPriority w:val="34"/>
    <w:qFormat/>
    <w:rsid w:val="00294718"/>
    <w:pPr>
      <w:ind w:left="720"/>
      <w:contextualSpacing/>
    </w:pPr>
  </w:style>
  <w:style w:type="paragraph" w:styleId="Caption">
    <w:name w:val="caption"/>
    <w:basedOn w:val="Normal"/>
    <w:next w:val="Normal"/>
    <w:uiPriority w:val="35"/>
    <w:unhideWhenUsed/>
    <w:qFormat/>
    <w:rsid w:val="0049333F"/>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0166750">
      <w:bodyDiv w:val="1"/>
      <w:marLeft w:val="0"/>
      <w:marRight w:val="0"/>
      <w:marTop w:val="0"/>
      <w:marBottom w:val="0"/>
      <w:divBdr>
        <w:top w:val="none" w:sz="0" w:space="0" w:color="auto"/>
        <w:left w:val="none" w:sz="0" w:space="0" w:color="auto"/>
        <w:bottom w:val="none" w:sz="0" w:space="0" w:color="auto"/>
        <w:right w:val="none" w:sz="0" w:space="0" w:color="auto"/>
      </w:divBdr>
    </w:div>
    <w:div w:id="218129462">
      <w:bodyDiv w:val="1"/>
      <w:marLeft w:val="0"/>
      <w:marRight w:val="0"/>
      <w:marTop w:val="0"/>
      <w:marBottom w:val="0"/>
      <w:divBdr>
        <w:top w:val="none" w:sz="0" w:space="0" w:color="auto"/>
        <w:left w:val="none" w:sz="0" w:space="0" w:color="auto"/>
        <w:bottom w:val="none" w:sz="0" w:space="0" w:color="auto"/>
        <w:right w:val="none" w:sz="0" w:space="0" w:color="auto"/>
      </w:divBdr>
    </w:div>
    <w:div w:id="239293940">
      <w:bodyDiv w:val="1"/>
      <w:marLeft w:val="0"/>
      <w:marRight w:val="0"/>
      <w:marTop w:val="0"/>
      <w:marBottom w:val="0"/>
      <w:divBdr>
        <w:top w:val="none" w:sz="0" w:space="0" w:color="auto"/>
        <w:left w:val="none" w:sz="0" w:space="0" w:color="auto"/>
        <w:bottom w:val="none" w:sz="0" w:space="0" w:color="auto"/>
        <w:right w:val="none" w:sz="0" w:space="0" w:color="auto"/>
      </w:divBdr>
    </w:div>
    <w:div w:id="284314784">
      <w:bodyDiv w:val="1"/>
      <w:marLeft w:val="0"/>
      <w:marRight w:val="0"/>
      <w:marTop w:val="0"/>
      <w:marBottom w:val="0"/>
      <w:divBdr>
        <w:top w:val="none" w:sz="0" w:space="0" w:color="auto"/>
        <w:left w:val="none" w:sz="0" w:space="0" w:color="auto"/>
        <w:bottom w:val="none" w:sz="0" w:space="0" w:color="auto"/>
        <w:right w:val="none" w:sz="0" w:space="0" w:color="auto"/>
      </w:divBdr>
    </w:div>
    <w:div w:id="324018169">
      <w:bodyDiv w:val="1"/>
      <w:marLeft w:val="0"/>
      <w:marRight w:val="0"/>
      <w:marTop w:val="0"/>
      <w:marBottom w:val="0"/>
      <w:divBdr>
        <w:top w:val="none" w:sz="0" w:space="0" w:color="auto"/>
        <w:left w:val="none" w:sz="0" w:space="0" w:color="auto"/>
        <w:bottom w:val="none" w:sz="0" w:space="0" w:color="auto"/>
        <w:right w:val="none" w:sz="0" w:space="0" w:color="auto"/>
      </w:divBdr>
    </w:div>
    <w:div w:id="355615742">
      <w:bodyDiv w:val="1"/>
      <w:marLeft w:val="0"/>
      <w:marRight w:val="0"/>
      <w:marTop w:val="0"/>
      <w:marBottom w:val="0"/>
      <w:divBdr>
        <w:top w:val="none" w:sz="0" w:space="0" w:color="auto"/>
        <w:left w:val="none" w:sz="0" w:space="0" w:color="auto"/>
        <w:bottom w:val="none" w:sz="0" w:space="0" w:color="auto"/>
        <w:right w:val="none" w:sz="0" w:space="0" w:color="auto"/>
      </w:divBdr>
    </w:div>
    <w:div w:id="392314043">
      <w:bodyDiv w:val="1"/>
      <w:marLeft w:val="0"/>
      <w:marRight w:val="0"/>
      <w:marTop w:val="0"/>
      <w:marBottom w:val="0"/>
      <w:divBdr>
        <w:top w:val="none" w:sz="0" w:space="0" w:color="auto"/>
        <w:left w:val="none" w:sz="0" w:space="0" w:color="auto"/>
        <w:bottom w:val="none" w:sz="0" w:space="0" w:color="auto"/>
        <w:right w:val="none" w:sz="0" w:space="0" w:color="auto"/>
      </w:divBdr>
    </w:div>
    <w:div w:id="411509295">
      <w:bodyDiv w:val="1"/>
      <w:marLeft w:val="0"/>
      <w:marRight w:val="0"/>
      <w:marTop w:val="0"/>
      <w:marBottom w:val="0"/>
      <w:divBdr>
        <w:top w:val="none" w:sz="0" w:space="0" w:color="auto"/>
        <w:left w:val="none" w:sz="0" w:space="0" w:color="auto"/>
        <w:bottom w:val="none" w:sz="0" w:space="0" w:color="auto"/>
        <w:right w:val="none" w:sz="0" w:space="0" w:color="auto"/>
      </w:divBdr>
    </w:div>
    <w:div w:id="417286131">
      <w:bodyDiv w:val="1"/>
      <w:marLeft w:val="0"/>
      <w:marRight w:val="0"/>
      <w:marTop w:val="0"/>
      <w:marBottom w:val="0"/>
      <w:divBdr>
        <w:top w:val="none" w:sz="0" w:space="0" w:color="auto"/>
        <w:left w:val="none" w:sz="0" w:space="0" w:color="auto"/>
        <w:bottom w:val="none" w:sz="0" w:space="0" w:color="auto"/>
        <w:right w:val="none" w:sz="0" w:space="0" w:color="auto"/>
      </w:divBdr>
    </w:div>
    <w:div w:id="427389439">
      <w:bodyDiv w:val="1"/>
      <w:marLeft w:val="0"/>
      <w:marRight w:val="0"/>
      <w:marTop w:val="0"/>
      <w:marBottom w:val="0"/>
      <w:divBdr>
        <w:top w:val="none" w:sz="0" w:space="0" w:color="auto"/>
        <w:left w:val="none" w:sz="0" w:space="0" w:color="auto"/>
        <w:bottom w:val="none" w:sz="0" w:space="0" w:color="auto"/>
        <w:right w:val="none" w:sz="0" w:space="0" w:color="auto"/>
      </w:divBdr>
    </w:div>
    <w:div w:id="457453970">
      <w:bodyDiv w:val="1"/>
      <w:marLeft w:val="0"/>
      <w:marRight w:val="0"/>
      <w:marTop w:val="0"/>
      <w:marBottom w:val="0"/>
      <w:divBdr>
        <w:top w:val="none" w:sz="0" w:space="0" w:color="auto"/>
        <w:left w:val="none" w:sz="0" w:space="0" w:color="auto"/>
        <w:bottom w:val="none" w:sz="0" w:space="0" w:color="auto"/>
        <w:right w:val="none" w:sz="0" w:space="0" w:color="auto"/>
      </w:divBdr>
    </w:div>
    <w:div w:id="461191280">
      <w:bodyDiv w:val="1"/>
      <w:marLeft w:val="0"/>
      <w:marRight w:val="0"/>
      <w:marTop w:val="0"/>
      <w:marBottom w:val="0"/>
      <w:divBdr>
        <w:top w:val="none" w:sz="0" w:space="0" w:color="auto"/>
        <w:left w:val="none" w:sz="0" w:space="0" w:color="auto"/>
        <w:bottom w:val="none" w:sz="0" w:space="0" w:color="auto"/>
        <w:right w:val="none" w:sz="0" w:space="0" w:color="auto"/>
      </w:divBdr>
    </w:div>
    <w:div w:id="471025881">
      <w:bodyDiv w:val="1"/>
      <w:marLeft w:val="0"/>
      <w:marRight w:val="0"/>
      <w:marTop w:val="0"/>
      <w:marBottom w:val="0"/>
      <w:divBdr>
        <w:top w:val="none" w:sz="0" w:space="0" w:color="auto"/>
        <w:left w:val="none" w:sz="0" w:space="0" w:color="auto"/>
        <w:bottom w:val="none" w:sz="0" w:space="0" w:color="auto"/>
        <w:right w:val="none" w:sz="0" w:space="0" w:color="auto"/>
      </w:divBdr>
    </w:div>
    <w:div w:id="588198641">
      <w:bodyDiv w:val="1"/>
      <w:marLeft w:val="0"/>
      <w:marRight w:val="0"/>
      <w:marTop w:val="0"/>
      <w:marBottom w:val="0"/>
      <w:divBdr>
        <w:top w:val="none" w:sz="0" w:space="0" w:color="auto"/>
        <w:left w:val="none" w:sz="0" w:space="0" w:color="auto"/>
        <w:bottom w:val="none" w:sz="0" w:space="0" w:color="auto"/>
        <w:right w:val="none" w:sz="0" w:space="0" w:color="auto"/>
      </w:divBdr>
    </w:div>
    <w:div w:id="622922903">
      <w:bodyDiv w:val="1"/>
      <w:marLeft w:val="0"/>
      <w:marRight w:val="0"/>
      <w:marTop w:val="0"/>
      <w:marBottom w:val="0"/>
      <w:divBdr>
        <w:top w:val="none" w:sz="0" w:space="0" w:color="auto"/>
        <w:left w:val="none" w:sz="0" w:space="0" w:color="auto"/>
        <w:bottom w:val="none" w:sz="0" w:space="0" w:color="auto"/>
        <w:right w:val="none" w:sz="0" w:space="0" w:color="auto"/>
      </w:divBdr>
    </w:div>
    <w:div w:id="765076025">
      <w:bodyDiv w:val="1"/>
      <w:marLeft w:val="0"/>
      <w:marRight w:val="0"/>
      <w:marTop w:val="0"/>
      <w:marBottom w:val="0"/>
      <w:divBdr>
        <w:top w:val="none" w:sz="0" w:space="0" w:color="auto"/>
        <w:left w:val="none" w:sz="0" w:space="0" w:color="auto"/>
        <w:bottom w:val="none" w:sz="0" w:space="0" w:color="auto"/>
        <w:right w:val="none" w:sz="0" w:space="0" w:color="auto"/>
      </w:divBdr>
    </w:div>
    <w:div w:id="803279285">
      <w:bodyDiv w:val="1"/>
      <w:marLeft w:val="0"/>
      <w:marRight w:val="0"/>
      <w:marTop w:val="0"/>
      <w:marBottom w:val="0"/>
      <w:divBdr>
        <w:top w:val="none" w:sz="0" w:space="0" w:color="auto"/>
        <w:left w:val="none" w:sz="0" w:space="0" w:color="auto"/>
        <w:bottom w:val="none" w:sz="0" w:space="0" w:color="auto"/>
        <w:right w:val="none" w:sz="0" w:space="0" w:color="auto"/>
      </w:divBdr>
    </w:div>
    <w:div w:id="822428921">
      <w:bodyDiv w:val="1"/>
      <w:marLeft w:val="0"/>
      <w:marRight w:val="0"/>
      <w:marTop w:val="0"/>
      <w:marBottom w:val="0"/>
      <w:divBdr>
        <w:top w:val="none" w:sz="0" w:space="0" w:color="auto"/>
        <w:left w:val="none" w:sz="0" w:space="0" w:color="auto"/>
        <w:bottom w:val="none" w:sz="0" w:space="0" w:color="auto"/>
        <w:right w:val="none" w:sz="0" w:space="0" w:color="auto"/>
      </w:divBdr>
    </w:div>
    <w:div w:id="953906950">
      <w:bodyDiv w:val="1"/>
      <w:marLeft w:val="0"/>
      <w:marRight w:val="0"/>
      <w:marTop w:val="0"/>
      <w:marBottom w:val="0"/>
      <w:divBdr>
        <w:top w:val="none" w:sz="0" w:space="0" w:color="auto"/>
        <w:left w:val="none" w:sz="0" w:space="0" w:color="auto"/>
        <w:bottom w:val="none" w:sz="0" w:space="0" w:color="auto"/>
        <w:right w:val="none" w:sz="0" w:space="0" w:color="auto"/>
      </w:divBdr>
    </w:div>
    <w:div w:id="977149068">
      <w:bodyDiv w:val="1"/>
      <w:marLeft w:val="0"/>
      <w:marRight w:val="0"/>
      <w:marTop w:val="0"/>
      <w:marBottom w:val="0"/>
      <w:divBdr>
        <w:top w:val="none" w:sz="0" w:space="0" w:color="auto"/>
        <w:left w:val="none" w:sz="0" w:space="0" w:color="auto"/>
        <w:bottom w:val="none" w:sz="0" w:space="0" w:color="auto"/>
        <w:right w:val="none" w:sz="0" w:space="0" w:color="auto"/>
      </w:divBdr>
    </w:div>
    <w:div w:id="1196576004">
      <w:bodyDiv w:val="1"/>
      <w:marLeft w:val="0"/>
      <w:marRight w:val="0"/>
      <w:marTop w:val="0"/>
      <w:marBottom w:val="0"/>
      <w:divBdr>
        <w:top w:val="none" w:sz="0" w:space="0" w:color="auto"/>
        <w:left w:val="none" w:sz="0" w:space="0" w:color="auto"/>
        <w:bottom w:val="none" w:sz="0" w:space="0" w:color="auto"/>
        <w:right w:val="none" w:sz="0" w:space="0" w:color="auto"/>
      </w:divBdr>
    </w:div>
    <w:div w:id="1203245049">
      <w:bodyDiv w:val="1"/>
      <w:marLeft w:val="0"/>
      <w:marRight w:val="0"/>
      <w:marTop w:val="0"/>
      <w:marBottom w:val="0"/>
      <w:divBdr>
        <w:top w:val="none" w:sz="0" w:space="0" w:color="auto"/>
        <w:left w:val="none" w:sz="0" w:space="0" w:color="auto"/>
        <w:bottom w:val="none" w:sz="0" w:space="0" w:color="auto"/>
        <w:right w:val="none" w:sz="0" w:space="0" w:color="auto"/>
      </w:divBdr>
    </w:div>
    <w:div w:id="1246308863">
      <w:bodyDiv w:val="1"/>
      <w:marLeft w:val="0"/>
      <w:marRight w:val="0"/>
      <w:marTop w:val="0"/>
      <w:marBottom w:val="0"/>
      <w:divBdr>
        <w:top w:val="none" w:sz="0" w:space="0" w:color="auto"/>
        <w:left w:val="none" w:sz="0" w:space="0" w:color="auto"/>
        <w:bottom w:val="none" w:sz="0" w:space="0" w:color="auto"/>
        <w:right w:val="none" w:sz="0" w:space="0" w:color="auto"/>
      </w:divBdr>
    </w:div>
    <w:div w:id="1325547379">
      <w:bodyDiv w:val="1"/>
      <w:marLeft w:val="0"/>
      <w:marRight w:val="0"/>
      <w:marTop w:val="0"/>
      <w:marBottom w:val="0"/>
      <w:divBdr>
        <w:top w:val="none" w:sz="0" w:space="0" w:color="auto"/>
        <w:left w:val="none" w:sz="0" w:space="0" w:color="auto"/>
        <w:bottom w:val="none" w:sz="0" w:space="0" w:color="auto"/>
        <w:right w:val="none" w:sz="0" w:space="0" w:color="auto"/>
      </w:divBdr>
    </w:div>
    <w:div w:id="1381590735">
      <w:bodyDiv w:val="1"/>
      <w:marLeft w:val="0"/>
      <w:marRight w:val="0"/>
      <w:marTop w:val="0"/>
      <w:marBottom w:val="0"/>
      <w:divBdr>
        <w:top w:val="none" w:sz="0" w:space="0" w:color="auto"/>
        <w:left w:val="none" w:sz="0" w:space="0" w:color="auto"/>
        <w:bottom w:val="none" w:sz="0" w:space="0" w:color="auto"/>
        <w:right w:val="none" w:sz="0" w:space="0" w:color="auto"/>
      </w:divBdr>
    </w:div>
    <w:div w:id="1398629606">
      <w:bodyDiv w:val="1"/>
      <w:marLeft w:val="0"/>
      <w:marRight w:val="0"/>
      <w:marTop w:val="0"/>
      <w:marBottom w:val="0"/>
      <w:divBdr>
        <w:top w:val="none" w:sz="0" w:space="0" w:color="auto"/>
        <w:left w:val="none" w:sz="0" w:space="0" w:color="auto"/>
        <w:bottom w:val="none" w:sz="0" w:space="0" w:color="auto"/>
        <w:right w:val="none" w:sz="0" w:space="0" w:color="auto"/>
      </w:divBdr>
    </w:div>
    <w:div w:id="1444305571">
      <w:bodyDiv w:val="1"/>
      <w:marLeft w:val="0"/>
      <w:marRight w:val="0"/>
      <w:marTop w:val="0"/>
      <w:marBottom w:val="0"/>
      <w:divBdr>
        <w:top w:val="none" w:sz="0" w:space="0" w:color="auto"/>
        <w:left w:val="none" w:sz="0" w:space="0" w:color="auto"/>
        <w:bottom w:val="none" w:sz="0" w:space="0" w:color="auto"/>
        <w:right w:val="none" w:sz="0" w:space="0" w:color="auto"/>
      </w:divBdr>
    </w:div>
    <w:div w:id="1451974153">
      <w:bodyDiv w:val="1"/>
      <w:marLeft w:val="0"/>
      <w:marRight w:val="0"/>
      <w:marTop w:val="0"/>
      <w:marBottom w:val="0"/>
      <w:divBdr>
        <w:top w:val="none" w:sz="0" w:space="0" w:color="auto"/>
        <w:left w:val="none" w:sz="0" w:space="0" w:color="auto"/>
        <w:bottom w:val="none" w:sz="0" w:space="0" w:color="auto"/>
        <w:right w:val="none" w:sz="0" w:space="0" w:color="auto"/>
      </w:divBdr>
    </w:div>
    <w:div w:id="1461921300">
      <w:bodyDiv w:val="1"/>
      <w:marLeft w:val="0"/>
      <w:marRight w:val="0"/>
      <w:marTop w:val="0"/>
      <w:marBottom w:val="0"/>
      <w:divBdr>
        <w:top w:val="none" w:sz="0" w:space="0" w:color="auto"/>
        <w:left w:val="none" w:sz="0" w:space="0" w:color="auto"/>
        <w:bottom w:val="none" w:sz="0" w:space="0" w:color="auto"/>
        <w:right w:val="none" w:sz="0" w:space="0" w:color="auto"/>
      </w:divBdr>
    </w:div>
    <w:div w:id="1482043252">
      <w:bodyDiv w:val="1"/>
      <w:marLeft w:val="0"/>
      <w:marRight w:val="0"/>
      <w:marTop w:val="0"/>
      <w:marBottom w:val="0"/>
      <w:divBdr>
        <w:top w:val="none" w:sz="0" w:space="0" w:color="auto"/>
        <w:left w:val="none" w:sz="0" w:space="0" w:color="auto"/>
        <w:bottom w:val="none" w:sz="0" w:space="0" w:color="auto"/>
        <w:right w:val="none" w:sz="0" w:space="0" w:color="auto"/>
      </w:divBdr>
    </w:div>
    <w:div w:id="1569874856">
      <w:bodyDiv w:val="1"/>
      <w:marLeft w:val="0"/>
      <w:marRight w:val="0"/>
      <w:marTop w:val="0"/>
      <w:marBottom w:val="0"/>
      <w:divBdr>
        <w:top w:val="none" w:sz="0" w:space="0" w:color="auto"/>
        <w:left w:val="none" w:sz="0" w:space="0" w:color="auto"/>
        <w:bottom w:val="none" w:sz="0" w:space="0" w:color="auto"/>
        <w:right w:val="none" w:sz="0" w:space="0" w:color="auto"/>
      </w:divBdr>
    </w:div>
    <w:div w:id="1585724757">
      <w:bodyDiv w:val="1"/>
      <w:marLeft w:val="0"/>
      <w:marRight w:val="0"/>
      <w:marTop w:val="0"/>
      <w:marBottom w:val="0"/>
      <w:divBdr>
        <w:top w:val="none" w:sz="0" w:space="0" w:color="auto"/>
        <w:left w:val="none" w:sz="0" w:space="0" w:color="auto"/>
        <w:bottom w:val="none" w:sz="0" w:space="0" w:color="auto"/>
        <w:right w:val="none" w:sz="0" w:space="0" w:color="auto"/>
      </w:divBdr>
    </w:div>
    <w:div w:id="1634477696">
      <w:bodyDiv w:val="1"/>
      <w:marLeft w:val="0"/>
      <w:marRight w:val="0"/>
      <w:marTop w:val="0"/>
      <w:marBottom w:val="0"/>
      <w:divBdr>
        <w:top w:val="none" w:sz="0" w:space="0" w:color="auto"/>
        <w:left w:val="none" w:sz="0" w:space="0" w:color="auto"/>
        <w:bottom w:val="none" w:sz="0" w:space="0" w:color="auto"/>
        <w:right w:val="none" w:sz="0" w:space="0" w:color="auto"/>
      </w:divBdr>
    </w:div>
    <w:div w:id="1656763816">
      <w:bodyDiv w:val="1"/>
      <w:marLeft w:val="0"/>
      <w:marRight w:val="0"/>
      <w:marTop w:val="0"/>
      <w:marBottom w:val="0"/>
      <w:divBdr>
        <w:top w:val="none" w:sz="0" w:space="0" w:color="auto"/>
        <w:left w:val="none" w:sz="0" w:space="0" w:color="auto"/>
        <w:bottom w:val="none" w:sz="0" w:space="0" w:color="auto"/>
        <w:right w:val="none" w:sz="0" w:space="0" w:color="auto"/>
      </w:divBdr>
    </w:div>
    <w:div w:id="1663385876">
      <w:bodyDiv w:val="1"/>
      <w:marLeft w:val="0"/>
      <w:marRight w:val="0"/>
      <w:marTop w:val="0"/>
      <w:marBottom w:val="0"/>
      <w:divBdr>
        <w:top w:val="none" w:sz="0" w:space="0" w:color="auto"/>
        <w:left w:val="none" w:sz="0" w:space="0" w:color="auto"/>
        <w:bottom w:val="none" w:sz="0" w:space="0" w:color="auto"/>
        <w:right w:val="none" w:sz="0" w:space="0" w:color="auto"/>
      </w:divBdr>
    </w:div>
    <w:div w:id="1674068244">
      <w:bodyDiv w:val="1"/>
      <w:marLeft w:val="0"/>
      <w:marRight w:val="0"/>
      <w:marTop w:val="0"/>
      <w:marBottom w:val="0"/>
      <w:divBdr>
        <w:top w:val="none" w:sz="0" w:space="0" w:color="auto"/>
        <w:left w:val="none" w:sz="0" w:space="0" w:color="auto"/>
        <w:bottom w:val="none" w:sz="0" w:space="0" w:color="auto"/>
        <w:right w:val="none" w:sz="0" w:space="0" w:color="auto"/>
      </w:divBdr>
    </w:div>
    <w:div w:id="1794446283">
      <w:bodyDiv w:val="1"/>
      <w:marLeft w:val="0"/>
      <w:marRight w:val="0"/>
      <w:marTop w:val="0"/>
      <w:marBottom w:val="0"/>
      <w:divBdr>
        <w:top w:val="none" w:sz="0" w:space="0" w:color="auto"/>
        <w:left w:val="none" w:sz="0" w:space="0" w:color="auto"/>
        <w:bottom w:val="none" w:sz="0" w:space="0" w:color="auto"/>
        <w:right w:val="none" w:sz="0" w:space="0" w:color="auto"/>
      </w:divBdr>
    </w:div>
    <w:div w:id="1836189169">
      <w:bodyDiv w:val="1"/>
      <w:marLeft w:val="0"/>
      <w:marRight w:val="0"/>
      <w:marTop w:val="0"/>
      <w:marBottom w:val="0"/>
      <w:divBdr>
        <w:top w:val="none" w:sz="0" w:space="0" w:color="auto"/>
        <w:left w:val="none" w:sz="0" w:space="0" w:color="auto"/>
        <w:bottom w:val="none" w:sz="0" w:space="0" w:color="auto"/>
        <w:right w:val="none" w:sz="0" w:space="0" w:color="auto"/>
      </w:divBdr>
    </w:div>
    <w:div w:id="1843157288">
      <w:bodyDiv w:val="1"/>
      <w:marLeft w:val="0"/>
      <w:marRight w:val="0"/>
      <w:marTop w:val="0"/>
      <w:marBottom w:val="0"/>
      <w:divBdr>
        <w:top w:val="none" w:sz="0" w:space="0" w:color="auto"/>
        <w:left w:val="none" w:sz="0" w:space="0" w:color="auto"/>
        <w:bottom w:val="none" w:sz="0" w:space="0" w:color="auto"/>
        <w:right w:val="none" w:sz="0" w:space="0" w:color="auto"/>
      </w:divBdr>
    </w:div>
    <w:div w:id="1873574813">
      <w:bodyDiv w:val="1"/>
      <w:marLeft w:val="0"/>
      <w:marRight w:val="0"/>
      <w:marTop w:val="0"/>
      <w:marBottom w:val="0"/>
      <w:divBdr>
        <w:top w:val="none" w:sz="0" w:space="0" w:color="auto"/>
        <w:left w:val="none" w:sz="0" w:space="0" w:color="auto"/>
        <w:bottom w:val="none" w:sz="0" w:space="0" w:color="auto"/>
        <w:right w:val="none" w:sz="0" w:space="0" w:color="auto"/>
      </w:divBdr>
    </w:div>
    <w:div w:id="1937781926">
      <w:bodyDiv w:val="1"/>
      <w:marLeft w:val="0"/>
      <w:marRight w:val="0"/>
      <w:marTop w:val="0"/>
      <w:marBottom w:val="0"/>
      <w:divBdr>
        <w:top w:val="none" w:sz="0" w:space="0" w:color="auto"/>
        <w:left w:val="none" w:sz="0" w:space="0" w:color="auto"/>
        <w:bottom w:val="none" w:sz="0" w:space="0" w:color="auto"/>
        <w:right w:val="none" w:sz="0" w:space="0" w:color="auto"/>
      </w:divBdr>
    </w:div>
    <w:div w:id="1953632756">
      <w:bodyDiv w:val="1"/>
      <w:marLeft w:val="0"/>
      <w:marRight w:val="0"/>
      <w:marTop w:val="0"/>
      <w:marBottom w:val="0"/>
      <w:divBdr>
        <w:top w:val="none" w:sz="0" w:space="0" w:color="auto"/>
        <w:left w:val="none" w:sz="0" w:space="0" w:color="auto"/>
        <w:bottom w:val="none" w:sz="0" w:space="0" w:color="auto"/>
        <w:right w:val="none" w:sz="0" w:space="0" w:color="auto"/>
      </w:divBdr>
    </w:div>
    <w:div w:id="1960335521">
      <w:bodyDiv w:val="1"/>
      <w:marLeft w:val="0"/>
      <w:marRight w:val="0"/>
      <w:marTop w:val="0"/>
      <w:marBottom w:val="0"/>
      <w:divBdr>
        <w:top w:val="none" w:sz="0" w:space="0" w:color="auto"/>
        <w:left w:val="none" w:sz="0" w:space="0" w:color="auto"/>
        <w:bottom w:val="none" w:sz="0" w:space="0" w:color="auto"/>
        <w:right w:val="none" w:sz="0" w:space="0" w:color="auto"/>
      </w:divBdr>
    </w:div>
    <w:div w:id="1965885996">
      <w:bodyDiv w:val="1"/>
      <w:marLeft w:val="0"/>
      <w:marRight w:val="0"/>
      <w:marTop w:val="0"/>
      <w:marBottom w:val="0"/>
      <w:divBdr>
        <w:top w:val="none" w:sz="0" w:space="0" w:color="auto"/>
        <w:left w:val="none" w:sz="0" w:space="0" w:color="auto"/>
        <w:bottom w:val="none" w:sz="0" w:space="0" w:color="auto"/>
        <w:right w:val="none" w:sz="0" w:space="0" w:color="auto"/>
      </w:divBdr>
    </w:div>
    <w:div w:id="2034070395">
      <w:bodyDiv w:val="1"/>
      <w:marLeft w:val="0"/>
      <w:marRight w:val="0"/>
      <w:marTop w:val="0"/>
      <w:marBottom w:val="0"/>
      <w:divBdr>
        <w:top w:val="none" w:sz="0" w:space="0" w:color="auto"/>
        <w:left w:val="none" w:sz="0" w:space="0" w:color="auto"/>
        <w:bottom w:val="none" w:sz="0" w:space="0" w:color="auto"/>
        <w:right w:val="none" w:sz="0" w:space="0" w:color="auto"/>
      </w:divBdr>
    </w:div>
    <w:div w:id="2034380539">
      <w:bodyDiv w:val="1"/>
      <w:marLeft w:val="0"/>
      <w:marRight w:val="0"/>
      <w:marTop w:val="0"/>
      <w:marBottom w:val="0"/>
      <w:divBdr>
        <w:top w:val="none" w:sz="0" w:space="0" w:color="auto"/>
        <w:left w:val="none" w:sz="0" w:space="0" w:color="auto"/>
        <w:bottom w:val="none" w:sz="0" w:space="0" w:color="auto"/>
        <w:right w:val="none" w:sz="0" w:space="0" w:color="auto"/>
      </w:divBdr>
    </w:div>
    <w:div w:id="2114007083">
      <w:bodyDiv w:val="1"/>
      <w:marLeft w:val="0"/>
      <w:marRight w:val="0"/>
      <w:marTop w:val="0"/>
      <w:marBottom w:val="0"/>
      <w:divBdr>
        <w:top w:val="none" w:sz="0" w:space="0" w:color="auto"/>
        <w:left w:val="none" w:sz="0" w:space="0" w:color="auto"/>
        <w:bottom w:val="none" w:sz="0" w:space="0" w:color="auto"/>
        <w:right w:val="none" w:sz="0" w:space="0" w:color="auto"/>
      </w:divBdr>
    </w:div>
    <w:div w:id="21452747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5.emf"/><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package" Target="embeddings/_________Microsoft_Visio.vsdx"/><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package" Target="embeddings/_________Microsoft_Visio2.vsdx"/><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5" Type="http://schemas.openxmlformats.org/officeDocument/2006/relationships/webSettings" Target="webSettings.xml"/><Relationship Id="rId15" Type="http://schemas.openxmlformats.org/officeDocument/2006/relationships/image" Target="media/image6.emf"/><Relationship Id="rId10" Type="http://schemas.openxmlformats.org/officeDocument/2006/relationships/image" Target="media/image3.emf"/><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package" Target="embeddings/_________Microsoft_Visio1.vsdx"/></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CDE20</b:Tag>
    <b:SourceType>InternetSite</b:SourceType>
    <b:Guid>{5982DFD7-A135-4454-B841-7729D7B767AF}</b:Guid>
    <b:LCID>es-AR</b:LCID>
    <b:Author>
      <b:Author>
        <b:NameList>
          <b:Person>
            <b:Last>CDE</b:Last>
          </b:Person>
        </b:NameList>
      </b:Author>
    </b:Author>
    <b:Title>La energía renovable en Europa</b:Title>
    <b:InternetSiteTitle>Centro de Documentación Europea de la Almería</b:InternetSiteTitle>
    <b:Year>2020</b:Year>
    <b:Month>03</b:Month>
    <b:Day>20</b:Day>
    <b:URL>https://bit.ly/2Pgxr53.</b:URL>
    <b:RefOrder>12</b:RefOrder>
  </b:Source>
  <b:Source>
    <b:Tag>Nik14</b:Tag>
    <b:SourceType>Book</b:SourceType>
    <b:Guid>{3C45F298-539E-4D4C-9C7A-CBA24E939054}</b:Guid>
    <b:Title>Microgrid: architectures and control</b:Title>
    <b:Year>2014</b:Year>
    <b:LCID>es-AR</b:LCID>
    <b:Author>
      <b:Author>
        <b:NameList>
          <b:Person>
            <b:Last>Hatziargyriou</b:Last>
            <b:First>Nikos</b:First>
          </b:Person>
        </b:NameList>
      </b:Author>
    </b:Author>
    <b:City>Union Kingdom</b:City>
    <b:Publisher>John Wiley and Sons Ltd</b:Publisher>
    <b:RefOrder>2</b:RefOrder>
  </b:Source>
  <b:Source>
    <b:Tag>Par19</b:Tag>
    <b:SourceType>DocumentFromInternetSite</b:SourceType>
    <b:Guid>{7A2402C5-6082-4E8D-A4D3-7C9F7522B611}</b:Guid>
    <b:Year>2019</b:Year>
    <b:Author>
      <b:Author>
        <b:NameList>
          <b:Person>
            <b:Last>Consejo</b:Last>
            <b:First>Parlamento</b:First>
            <b:Middle>Europeo y del</b:Middle>
          </b:Person>
        </b:NameList>
      </b:Author>
    </b:Author>
    <b:InternetSiteTitle>El acceso al Derecho de la Unión Europea</b:InternetSiteTitle>
    <b:Month>Junio</b:Month>
    <b:Day>5</b:Day>
    <b:URL>https://eur-lex.europa.eu/legal-content/ES/TXT/PDF/?uri=CELEX:32019L0944&amp;from=EN</b:URL>
    <b:LCID>es-AR</b:LCID>
    <b:Title>Directiva (UE) 2019/944. </b:Title>
    <b:RefOrder>1</b:RefOrder>
  </b:Source>
  <b:Source>
    <b:Tag>PHP</b:Tag>
    <b:SourceType>InternetSite</b:SourceType>
    <b:Guid>{80086832-317A-4AF9-BF72-B39F83FCFBFD}</b:Guid>
    <b:Title>PHP: ¿Que es PHP? Manual</b:Title>
    <b:InternetSiteTitle>PHP: Hypertext Preprocessor</b:InternetSiteTitle>
    <b:URL>https://www.php.net/manual/es/intro-whatis.php</b:URL>
    <b:RefOrder>4</b:RefOrder>
  </b:Source>
  <b:Source>
    <b:Tag>Gau12</b:Tag>
    <b:SourceType>Book</b:SourceType>
    <b:Guid>{1D9FE976-4178-407F-8429-743DF781A6F1}</b:Guid>
    <b:Author>
      <b:Author>
        <b:NameList>
          <b:Person>
            <b:Last>Gauchat</b:Last>
            <b:Middle>Diego</b:Middle>
            <b:First>Juan</b:First>
          </b:Person>
        </b:NameList>
      </b:Author>
    </b:Author>
    <b:Title>El gran libro de HTML5, CSS3 y Javascript</b:Title>
    <b:Year>2012</b:Year>
    <b:BookTitle>El gran libro de HTML5, CSS3 y Javascript</b:BookTitle>
    <b:City>Barcelona</b:City>
    <b:Publisher>MARCOMBO</b:Publisher>
    <b:RefOrder>5</b:RefOrder>
  </b:Source>
  <b:Source>
    <b:Tag>Moz21</b:Tag>
    <b:SourceType>InternetSite</b:SourceType>
    <b:Guid>{AAF2034B-2C82-45A8-9385-114E882AE024}</b:Guid>
    <b:Title>Conceptos básicos de HTML</b:Title>
    <b:Year>2021</b:Year>
    <b:Author>
      <b:Author>
        <b:NameList>
          <b:Person>
            <b:Last>contributors</b:Last>
            <b:First>Mozilla</b:First>
            <b:Middle>and individual</b:Middle>
          </b:Person>
        </b:NameList>
      </b:Author>
    </b:Author>
    <b:InternetSiteTitle>MDN web Docs</b:InternetSiteTitle>
    <b:URL>https://developer.mozilla.org/es/docs/Learn/Getting_started_with_the_web/HTML_basics</b:URL>
    <b:RefOrder>3</b:RefOrder>
  </b:Source>
  <b:Source>
    <b:Tag>Ora21</b:Tag>
    <b:SourceType>InternetSite</b:SourceType>
    <b:Guid>{DE6E8DE2-4D7D-4186-8B24-030FA730B36C}</b:Guid>
    <b:Author>
      <b:Author>
        <b:NameList>
          <b:Person>
            <b:Last>Oracle</b:Last>
          </b:Person>
        </b:NameList>
      </b:Author>
    </b:Author>
    <b:Title>MySQL: About MySQL</b:Title>
    <b:InternetSiteTitle>MySQL</b:InternetSiteTitle>
    <b:Year>2021</b:Year>
    <b:URL>https://www.mysql.com/about/</b:URL>
    <b:RefOrder>6</b:RefOrder>
  </b:Source>
  <b:Source>
    <b:Tag>Blo21</b:Tag>
    <b:SourceType>InternetSite</b:SourceType>
    <b:Guid>{EF35C484-B456-4CFE-A6C2-FFA484501684}</b:Guid>
    <b:Author>
      <b:Author>
        <b:NameList>
          <b:Person>
            <b:Last>Argentina</b:Last>
            <b:First>Blockchain</b:First>
            <b:Middle>federal</b:Middle>
          </b:Person>
        </b:NameList>
      </b:Author>
    </b:Author>
    <b:Title>Blockchain federal Argentina</b:Title>
    <b:InternetSiteTitle>Blockchain federal Argentina</b:InternetSiteTitle>
    <b:Year>2021</b:Year>
    <b:URL>https://bfa.ar/blockchain/blockchain</b:URL>
    <b:RefOrder>7</b:RefOrder>
  </b:Source>
  <b:Source>
    <b:Tag>Bro21</b:Tag>
    <b:SourceType>InternetSite</b:SourceType>
    <b:Guid>{24E0520F-860F-49A5-A0FB-3A7C9408C9F9}</b:Guid>
    <b:Title>Brooklyn’s Blockchain-Enabled Energy Microgrid</b:Title>
    <b:InternetSiteTitle>Global Opportunity Explorer</b:InternetSiteTitle>
    <b:Year>2021</b:Year>
    <b:URL>https://goexplorer.org/brooklyns-blockchain-enabled-energy-microgrid/</b:URL>
    <b:RefOrder>8</b:RefOrder>
  </b:Source>
  <b:Source>
    <b:Tag>IGC16</b:Tag>
    <b:SourceType>InternetSite</b:SourceType>
    <b:Guid>{EAD773E5-1A98-47F7-97D3-2D3989C7484D}</b:Guid>
    <b:Title>IGC Pier Armstrong</b:Title>
    <b:InternetSiteTitle>IGC</b:InternetSiteTitle>
    <b:Year>2016</b:Year>
    <b:URL>http://igc.org.ar/prier/</b:URL>
    <b:RefOrder>10</b:RefOrder>
  </b:Source>
  <b:Source>
    <b:Tag>Cóm18</b:Tag>
    <b:SourceType>InternetSite</b:SourceType>
    <b:Guid>{39EA796B-0336-493D-8308-9518975870C8}</b:Guid>
    <b:Title>¿Cómo funciona la primera red eléctrica inteligente de Argentina?</b:Title>
    <b:InternetSiteTitle>Infobae</b:InternetSiteTitle>
    <b:Year>2018</b:Year>
    <b:Month>07</b:Month>
    <b:Day>14</b:Day>
    <b:URL>https://www.infobae.com/def/desarrollo/2018/07/14/como-funciona-la-primera-red-electrica-inteligente-de-argentina/</b:URL>
    <b:RefOrder>9</b:RefOrder>
  </b:Source>
  <b:Source>
    <b:Tag>Jef10</b:Tag>
    <b:SourceType>Book</b:SourceType>
    <b:Guid>{8ACA1A71-0459-4F38-9D0F-44934D26AFAA}</b:Guid>
    <b:Title>Scrum Handbook</b:Title>
    <b:Year>2010</b:Year>
    <b:Author>
      <b:Author>
        <b:NameList>
          <b:Person>
            <b:Last>Sutherland’s</b:Last>
            <b:First>Jeff</b:First>
          </b:Person>
        </b:NameList>
      </b:Author>
    </b:Author>
    <b:City>Boston</b:City>
    <b:Publisher>Scrum Training Institute Press</b:Publisher>
    <b:RefOrder>11</b:RefOrder>
  </b:Source>
</b:Sources>
</file>

<file path=customXml/itemProps1.xml><?xml version="1.0" encoding="utf-8"?>
<ds:datastoreItem xmlns:ds="http://schemas.openxmlformats.org/officeDocument/2006/customXml" ds:itemID="{7E706816-57BB-4CF0-8D16-B8498FBD53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8868</TotalTime>
  <Pages>22</Pages>
  <Words>5582</Words>
  <Characters>30705</Characters>
  <Application>Microsoft Office Word</Application>
  <DocSecurity>0</DocSecurity>
  <Lines>255</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36215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Miguel Pereyra</dc:creator>
  <cp:keywords/>
  <dc:description/>
  <cp:lastModifiedBy>Miguel Pereyra</cp:lastModifiedBy>
  <cp:revision>37</cp:revision>
  <dcterms:created xsi:type="dcterms:W3CDTF">2021-04-14T21:07:00Z</dcterms:created>
  <dcterms:modified xsi:type="dcterms:W3CDTF">2021-05-03T01:43:00Z</dcterms:modified>
</cp:coreProperties>
</file>