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Investment</w:t>
      </w:r>
    </w:p>
    <w:p>
      <w:pPr>
        <w:pStyle w:val="Author"/>
      </w:pPr>
      <w:r>
        <w:t xml:space="preserve">Pallak</w:t>
      </w:r>
      <w:r>
        <w:t xml:space="preserve"> </w:t>
      </w:r>
      <w:r>
        <w:t xml:space="preserve">Goyal</w:t>
      </w:r>
    </w:p>
    <w:p>
      <w:pPr>
        <w:pStyle w:val="Date"/>
      </w:pPr>
      <w:r>
        <w:t xml:space="preserve">2024-01-09</w:t>
      </w:r>
    </w:p>
    <w:bookmarkStart w:id="20" w:name="introduction"/>
    <w:p>
      <w:pPr>
        <w:pStyle w:val="Heading2"/>
      </w:pPr>
      <w:r>
        <w:t xml:space="preserve">Introduction</w:t>
      </w:r>
    </w:p>
    <w:p>
      <w:pPr>
        <w:pStyle w:val="FirstParagraph"/>
      </w:pPr>
      <w:r>
        <w:t xml:space="preserve">The objective of this analysis was to see whether there has been any effect of PLI on physical investment undertaken by beneficiary firms. To understand the same a regression analysis was performed.</w:t>
      </w:r>
    </w:p>
    <w:p>
      <w:pPr>
        <w:pStyle w:val="BodyText"/>
      </w:pPr>
      <w:r>
        <w:t xml:space="preserve">The data consists of consolidated annual financial statements of firms wherever available. If firms do not prepare a consolidated statement, the standalone statement was considered.</w:t>
      </w:r>
    </w:p>
    <w:p>
      <w:pPr>
        <w:pStyle w:val="BodyText"/>
      </w:pPr>
      <w:r>
        <w:t xml:space="preserve">Only beneficiaries of Category 1 are considered. This is because they were incentivised by the scheme to undertake greater investment. The selection criteria was based on investment plans, with those pledging greater investment being ranked higher.</w:t>
      </w:r>
    </w:p>
    <w:p>
      <w:pPr>
        <w:pStyle w:val="BodyText"/>
      </w:pPr>
      <w:r>
        <w:t xml:space="preserve">The time period considered is FY15-FY23. Of these FY 22 and FY 23 are the years when the PLISFPI was implemented.</w:t>
      </w:r>
    </w:p>
    <w:bookmarkEnd w:id="20"/>
    <w:bookmarkStart w:id="22" w:name="regression"/>
    <w:p>
      <w:pPr>
        <w:pStyle w:val="Heading2"/>
      </w:pPr>
      <w:r>
        <w:t xml:space="preserve">Regression</w:t>
      </w:r>
    </w:p>
    <w:p>
      <w:pPr>
        <w:pStyle w:val="FirstParagraph"/>
      </w:pPr>
      <w:r>
        <w:t xml:space="preserve">In order to correct for endogeneity, GMM method is used in the literature</w:t>
      </w:r>
      <w:r>
        <w:rPr>
          <w:rStyle w:val="FootnoteReference"/>
        </w:rPr>
        <w:footnoteReference w:id="21"/>
      </w:r>
      <w:r>
        <w:t xml:space="preserve">.</w:t>
      </w:r>
    </w:p>
    <w:p>
      <w:pPr>
        <w:pStyle w:val="BodyText"/>
      </w:pPr>
      <w:r>
        <w:t xml:space="preserve">Therefore, GMM method was used for estimation.</w:t>
      </w:r>
    </w:p>
    <w:p>
      <w:pPr>
        <w:pStyle w:val="BodyText"/>
      </w:pPr>
      <w:r>
        <w:t xml:space="preserve">Two models were estimated as given below:</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Δ</m:t>
              </m:r>
              <m:r>
                <m:t>S</m:t>
              </m:r>
            </m:num>
            <m:den>
              <m:r>
                <m:t>K</m:t>
              </m:r>
            </m:den>
          </m:f>
          <m:sSub>
            <m:e>
              <m:r>
                <m:rPr>
                  <m:sty m:val="p"/>
                </m:rPr>
                <m:t>)</m:t>
              </m:r>
            </m:e>
            <m:sub>
              <m:r>
                <m:t>i</m:t>
              </m:r>
              <m:r>
                <m:rPr>
                  <m:sty m:val="p"/>
                </m:rPr>
                <m:t>,</m:t>
              </m:r>
              <m:r>
                <m:t>t</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Δ</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The annual measure of uncertainty was taken by taken the average of the monthly Economic Policy Uncertainty Index by Scott Baker, Nicholos Bloom and Steven J. Davis.</w:t>
      </w:r>
      <w:r>
        <w:t xml:space="preserve"> </w:t>
      </w:r>
      <w:r>
        <w:t xml:space="preserve">The annual repo rate series was generated by averaging for quarterly figures available at the Database on Indian Economy maintained by the RBI.</w:t>
      </w:r>
      <w:r>
        <w:t xml:space="preserve"> </w:t>
      </w:r>
      <w:r>
        <w:t xml:space="preserve">Here,</w:t>
      </w:r>
      <w:r>
        <w:t xml:space="preserve"> </w:t>
      </w:r>
      <m:oMath>
        <m:r>
          <m:t>I</m:t>
        </m:r>
      </m:oMath>
      <w:r>
        <w:t xml:space="preserve"> </w:t>
      </w:r>
      <w:r>
        <w:t xml:space="preserve">represents investment,</w:t>
      </w:r>
      <w:r>
        <w:t xml:space="preserve"> </w:t>
      </w:r>
      <m:oMath>
        <m:r>
          <m:t>K</m:t>
        </m:r>
      </m:oMath>
      <w:r>
        <w:t xml:space="preserve"> </w:t>
      </w:r>
      <w:r>
        <w:t xml:space="preserve">represents capital stock,</w:t>
      </w:r>
      <w:r>
        <w:t xml:space="preserve"> </w:t>
      </w:r>
      <m:oMath>
        <m:r>
          <m:t>C</m:t>
        </m:r>
        <m:r>
          <m:t>F</m:t>
        </m:r>
      </m:oMath>
      <w:r>
        <w:t xml:space="preserve"> </w:t>
      </w:r>
      <w:r>
        <w:t xml:space="preserve">represents cash flows,</w:t>
      </w:r>
      <w:r>
        <w:t xml:space="preserve"> </w:t>
      </w:r>
      <m:oMath>
        <m:r>
          <m:t>S</m:t>
        </m:r>
      </m:oMath>
      <w:r>
        <w:t xml:space="preserve"> </w:t>
      </w:r>
      <w:r>
        <w:t xml:space="preserve">represents sales,</w:t>
      </w:r>
      <w:r>
        <w:t xml:space="preserve"> </w:t>
      </w:r>
      <m:oMath>
        <m:r>
          <m:t>D</m:t>
        </m:r>
      </m:oMath>
      <w:r>
        <w:t xml:space="preserve"> </w:t>
      </w:r>
      <w:r>
        <w:t xml:space="preserve">represents debt and</w:t>
      </w:r>
      <w:r>
        <w:t xml:space="preserve"> </w:t>
      </w:r>
      <m:oMath>
        <m:r>
          <m:t>Δ</m:t>
        </m:r>
      </m:oMath>
      <w:r>
        <w:t xml:space="preserve"> </w:t>
      </w:r>
      <w:r>
        <w:t xml:space="preserve">represents change in a variable.</w:t>
      </w:r>
      <w:r>
        <w:t xml:space="preserve"> </w:t>
      </w:r>
      <w:r>
        <w:t xml:space="preserve">Year fixed effects other than PLI were sought to be captured through repo rate and uncertainty.</w:t>
      </w:r>
    </w:p>
    <w:p>
      <w:pPr>
        <w:pStyle w:val="SourceCode"/>
      </w:pPr>
      <w:r>
        <w:rPr>
          <w:rStyle w:val="VerbatimChar"/>
        </w:rPr>
        <w:t xml:space="preserve">## </w:t>
      </w:r>
      <w:r>
        <w:br/>
      </w:r>
      <w:r>
        <w:rPr>
          <w:rStyle w:val="VerbatimChar"/>
        </w:rPr>
        <w:t xml:space="preserve">## GMM Panel Regression Models of effect of PLI scheme on Category 1 beneficiary investment</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i.by.k           </w:t>
      </w:r>
      <w:r>
        <w:br/>
      </w:r>
      <w:r>
        <w:rPr>
          <w:rStyle w:val="VerbatimChar"/>
        </w:rPr>
        <w:t xml:space="preserve">##                    (1)            (2)     </w:t>
      </w:r>
      <w:r>
        <w:br/>
      </w:r>
      <w:r>
        <w:rPr>
          <w:rStyle w:val="VerbatimChar"/>
        </w:rPr>
        <w:t xml:space="preserve">## ------------------------------------------</w:t>
      </w:r>
      <w:r>
        <w:br/>
      </w:r>
      <w:r>
        <w:rPr>
          <w:rStyle w:val="VerbatimChar"/>
        </w:rPr>
        <w:t xml:space="preserve">## i_1.by.k_1        0.258        0.759***   </w:t>
      </w:r>
      <w:r>
        <w:br/>
      </w:r>
      <w:r>
        <w:rPr>
          <w:rStyle w:val="VerbatimChar"/>
        </w:rPr>
        <w:t xml:space="preserve">##                  (0.187)        (0.268)   </w:t>
      </w:r>
      <w:r>
        <w:br/>
      </w:r>
      <w:r>
        <w:rPr>
          <w:rStyle w:val="VerbatimChar"/>
        </w:rPr>
        <w:t xml:space="preserve">##                                           </w:t>
      </w:r>
      <w:r>
        <w:br/>
      </w:r>
      <w:r>
        <w:rPr>
          <w:rStyle w:val="VerbatimChar"/>
        </w:rPr>
        <w:t xml:space="preserve">## cf_1.by.k_1       -0.005       0.059***   </w:t>
      </w:r>
      <w:r>
        <w:br/>
      </w:r>
      <w:r>
        <w:rPr>
          <w:rStyle w:val="VerbatimChar"/>
        </w:rPr>
        <w:t xml:space="preserve">##                  (0.036)        (0.012)   </w:t>
      </w:r>
      <w:r>
        <w:br/>
      </w:r>
      <w:r>
        <w:rPr>
          <w:rStyle w:val="VerbatimChar"/>
        </w:rPr>
        <w:t xml:space="preserve">##                                           </w:t>
      </w:r>
      <w:r>
        <w:br/>
      </w:r>
      <w:r>
        <w:rPr>
          <w:rStyle w:val="VerbatimChar"/>
        </w:rPr>
        <w:t xml:space="preserve">## s_1.by.k_1       0.014***                 </w:t>
      </w:r>
      <w:r>
        <w:br/>
      </w:r>
      <w:r>
        <w:rPr>
          <w:rStyle w:val="VerbatimChar"/>
        </w:rPr>
        <w:t xml:space="preserve">##                  (0.005)                  </w:t>
      </w:r>
      <w:r>
        <w:br/>
      </w:r>
      <w:r>
        <w:rPr>
          <w:rStyle w:val="VerbatimChar"/>
        </w:rPr>
        <w:t xml:space="preserve">##                                           </w:t>
      </w:r>
      <w:r>
        <w:br/>
      </w:r>
      <w:r>
        <w:rPr>
          <w:rStyle w:val="VerbatimChar"/>
        </w:rPr>
        <w:t xml:space="preserve">## ds.by.k                        0.008***   </w:t>
      </w:r>
      <w:r>
        <w:br/>
      </w:r>
      <w:r>
        <w:rPr>
          <w:rStyle w:val="VerbatimChar"/>
        </w:rPr>
        <w:t xml:space="preserve">##                                 (0.002)   </w:t>
      </w:r>
      <w:r>
        <w:br/>
      </w:r>
      <w:r>
        <w:rPr>
          <w:rStyle w:val="VerbatimChar"/>
        </w:rPr>
        <w:t xml:space="preserve">##                                           </w:t>
      </w:r>
      <w:r>
        <w:br/>
      </w:r>
      <w:r>
        <w:rPr>
          <w:rStyle w:val="VerbatimChar"/>
        </w:rPr>
        <w:t xml:space="preserve">## d_1.by.k_1       0.093**        0.073**   </w:t>
      </w:r>
      <w:r>
        <w:br/>
      </w:r>
      <w:r>
        <w:rPr>
          <w:rStyle w:val="VerbatimChar"/>
        </w:rPr>
        <w:t xml:space="preserve">##                  (0.046)        (0.031)   </w:t>
      </w:r>
      <w:r>
        <w:br/>
      </w:r>
      <w:r>
        <w:rPr>
          <w:rStyle w:val="VerbatimChar"/>
        </w:rPr>
        <w:t xml:space="preserve">##                                           </w:t>
      </w:r>
      <w:r>
        <w:br/>
      </w:r>
      <w:r>
        <w:rPr>
          <w:rStyle w:val="VerbatimChar"/>
        </w:rPr>
        <w:t xml:space="preserve">## uncertainty_1    -0.0003        -0.0001   </w:t>
      </w:r>
      <w:r>
        <w:br/>
      </w:r>
      <w:r>
        <w:rPr>
          <w:rStyle w:val="VerbatimChar"/>
        </w:rPr>
        <w:t xml:space="preserve">##                  (0.0004)       (0.001)   </w:t>
      </w:r>
      <w:r>
        <w:br/>
      </w:r>
      <w:r>
        <w:rPr>
          <w:rStyle w:val="VerbatimChar"/>
        </w:rPr>
        <w:t xml:space="preserve">##                                           </w:t>
      </w:r>
      <w:r>
        <w:br/>
      </w:r>
      <w:r>
        <w:rPr>
          <w:rStyle w:val="VerbatimChar"/>
        </w:rPr>
        <w:t xml:space="preserve">## repo_rate         0.013                   </w:t>
      </w:r>
      <w:r>
        <w:br/>
      </w:r>
      <w:r>
        <w:rPr>
          <w:rStyle w:val="VerbatimChar"/>
        </w:rPr>
        <w:t xml:space="preserve">##                  (0.008)                  </w:t>
      </w:r>
      <w:r>
        <w:br/>
      </w:r>
      <w:r>
        <w:rPr>
          <w:rStyle w:val="VerbatimChar"/>
        </w:rPr>
        <w:t xml:space="preserve">##                                           </w:t>
      </w:r>
      <w:r>
        <w:br/>
      </w:r>
      <w:r>
        <w:rPr>
          <w:rStyle w:val="VerbatimChar"/>
        </w:rPr>
        <w:t xml:space="preserve">## d.repo_rate                     -0.015    </w:t>
      </w:r>
      <w:r>
        <w:br/>
      </w:r>
      <w:r>
        <w:rPr>
          <w:rStyle w:val="VerbatimChar"/>
        </w:rPr>
        <w:t xml:space="preserve">##                                 (0.019)   </w:t>
      </w:r>
      <w:r>
        <w:br/>
      </w:r>
      <w:r>
        <w:rPr>
          <w:rStyle w:val="VerbatimChar"/>
        </w:rPr>
        <w:t xml:space="preserve">##                                           </w:t>
      </w:r>
      <w:r>
        <w:br/>
      </w:r>
      <w:r>
        <w:rPr>
          <w:rStyle w:val="VerbatimChar"/>
        </w:rPr>
        <w:t xml:space="preserve">## pli               0.008          0.050    </w:t>
      </w:r>
      <w:r>
        <w:br/>
      </w:r>
      <w:r>
        <w:rPr>
          <w:rStyle w:val="VerbatimChar"/>
        </w:rPr>
        <w:t xml:space="preserve">##                  (0.019)        (0.035)   </w:t>
      </w:r>
      <w:r>
        <w:br/>
      </w:r>
      <w:r>
        <w:rPr>
          <w:rStyle w:val="VerbatimChar"/>
        </w:rPr>
        <w:t xml:space="preserve">##                                           </w:t>
      </w:r>
      <w:r>
        <w:br/>
      </w:r>
      <w:r>
        <w:rPr>
          <w:rStyle w:val="VerbatimChar"/>
        </w:rPr>
        <w:t xml:space="preserve">## ------------------------------------------</w:t>
      </w:r>
      <w:r>
        <w:br/>
      </w:r>
      <w:r>
        <w:rPr>
          <w:rStyle w:val="VerbatimChar"/>
        </w:rPr>
        <w:t xml:space="preserve">## Observations        46            46      </w:t>
      </w:r>
      <w:r>
        <w:br/>
      </w:r>
      <w:r>
        <w:rPr>
          <w:rStyle w:val="VerbatimChar"/>
        </w:rPr>
        <w:t xml:space="preserve">## ==========================================</w:t>
      </w:r>
      <w:r>
        <w:br/>
      </w:r>
      <w:r>
        <w:rPr>
          <w:rStyle w:val="VerbatimChar"/>
        </w:rPr>
        <w:t xml:space="preserve">## Note:          *p&lt;0.1; **p&lt;0.05; ***p&lt;0.01</w:t>
      </w:r>
    </w:p>
    <w:p>
      <w:pPr>
        <w:pStyle w:val="FirstParagraph"/>
      </w:pPr>
      <w:r>
        <w:t xml:space="preserve">The results indicate that PLI has had no significant effect on the investment levels of the beneficiaries.</w:t>
      </w:r>
    </w:p>
    <w:bookmarkEnd w:id="22"/>
    <w:bookmarkStart w:id="34" w:name="references"/>
    <w:p>
      <w:pPr>
        <w:pStyle w:val="Heading2"/>
      </w:pPr>
      <w:r>
        <w:t xml:space="preserve">References</w:t>
      </w:r>
    </w:p>
    <w:bookmarkStart w:id="33" w:name="refs"/>
    <w:bookmarkStart w:id="24" w:name="ref-gezici_determinants_2019"/>
    <w:p>
      <w:pPr>
        <w:pStyle w:val="Bibliography"/>
      </w:pPr>
      <w:r>
        <w:t xml:space="preserve">Gezici, Armağan, Özgür Orhangazi, and Cihan Yalçın. 2019.</w:t>
      </w:r>
      <w:r>
        <w:t xml:space="preserve"> </w:t>
      </w:r>
      <w:r>
        <w:t xml:space="preserve">“Determinants of</w:t>
      </w:r>
      <w:r>
        <w:t xml:space="preserve"> </w:t>
      </w:r>
      <w:r>
        <w:t xml:space="preserve">Investment</w:t>
      </w:r>
      <w:r>
        <w:t xml:space="preserve"> </w:t>
      </w:r>
      <w:r>
        <w:t xml:space="preserve">in</w:t>
      </w:r>
      <w:r>
        <w:t xml:space="preserve"> </w:t>
      </w:r>
      <w:r>
        <w:t xml:space="preserve">Turkey</w:t>
      </w:r>
      <w:r>
        <w:t xml:space="preserve">:</w:t>
      </w:r>
      <w:r>
        <w:t xml:space="preserve"> </w:t>
      </w:r>
      <w:r>
        <w:t xml:space="preserve">A</w:t>
      </w:r>
      <w:r>
        <w:t xml:space="preserve"> </w:t>
      </w:r>
      <w:r>
        <w:t xml:space="preserve">Firm</w:t>
      </w:r>
      <w:r>
        <w:t xml:space="preserve">-</w:t>
      </w:r>
      <w:r>
        <w:t xml:space="preserve">Level</w:t>
      </w:r>
      <w:r>
        <w:t xml:space="preserve"> </w:t>
      </w:r>
      <w:r>
        <w:t xml:space="preserve">Investigation</w:t>
      </w:r>
      <w:r>
        <w:t xml:space="preserve">.”</w:t>
      </w:r>
      <w:r>
        <w:t xml:space="preserve"> </w:t>
      </w:r>
      <w:r>
        <w:rPr>
          <w:iCs/>
          <w:i/>
        </w:rPr>
        <w:t xml:space="preserve">Emerging Markets Finance and Trade</w:t>
      </w:r>
      <w:r>
        <w:t xml:space="preserve"> </w:t>
      </w:r>
      <w:r>
        <w:t xml:space="preserve">55 (6): 1405–16.</w:t>
      </w:r>
      <w:r>
        <w:t xml:space="preserve"> </w:t>
      </w:r>
      <w:hyperlink r:id="rId23">
        <w:r>
          <w:rPr>
            <w:rStyle w:val="Hyperlink"/>
          </w:rPr>
          <w:t xml:space="preserve">https://doi.org/10.1080/1540496X.2018.1473247</w:t>
        </w:r>
      </w:hyperlink>
      <w:r>
        <w:t xml:space="preserve">.</w:t>
      </w:r>
    </w:p>
    <w:bookmarkEnd w:id="24"/>
    <w:bookmarkStart w:id="26" w:name="ref-panagiotidis_investment_2021"/>
    <w:p>
      <w:pPr>
        <w:pStyle w:val="Bibliography"/>
      </w:pPr>
      <w:r>
        <w:t xml:space="preserve">Panagiotidis, Theodore, and Panagiotis Printzis. 2021.</w:t>
      </w:r>
      <w:r>
        <w:t xml:space="preserve"> </w:t>
      </w:r>
      <w:r>
        <w:t xml:space="preserve">“Investment and Uncertainty:</w:t>
      </w:r>
      <w:r>
        <w:t xml:space="preserve"> </w:t>
      </w:r>
      <w:r>
        <w:t xml:space="preserve">Are</w:t>
      </w:r>
      <w:r>
        <w:t xml:space="preserve"> </w:t>
      </w:r>
      <w:r>
        <w:t xml:space="preserve">Large Firms Different from Small Ones?”</w:t>
      </w:r>
      <w:r>
        <w:t xml:space="preserve"> </w:t>
      </w:r>
      <w:r>
        <w:rPr>
          <w:iCs/>
          <w:i/>
        </w:rPr>
        <w:t xml:space="preserve">Journal of Economic Behavior &amp; Organization</w:t>
      </w:r>
      <w:r>
        <w:t xml:space="preserve"> </w:t>
      </w:r>
      <w:r>
        <w:t xml:space="preserve">184 (April): 302–17.</w:t>
      </w:r>
      <w:r>
        <w:t xml:space="preserve"> </w:t>
      </w:r>
      <w:hyperlink r:id="rId25">
        <w:r>
          <w:rPr>
            <w:rStyle w:val="Hyperlink"/>
          </w:rPr>
          <w:t xml:space="preserve">https://doi.org/10.1016/j.jebo.2021.01.011</w:t>
        </w:r>
      </w:hyperlink>
      <w:r>
        <w:t xml:space="preserve">.</w:t>
      </w:r>
    </w:p>
    <w:bookmarkEnd w:id="26"/>
    <w:bookmarkStart w:id="28" w:name="ref-poncet_financial_2010"/>
    <w:p>
      <w:pPr>
        <w:pStyle w:val="Bibliography"/>
      </w:pPr>
      <w:r>
        <w:t xml:space="preserve">Poncet, Sandra, Walter Steingress, and Hylke Vandenbussche. 2010.</w:t>
      </w:r>
      <w:r>
        <w:t xml:space="preserve"> </w:t>
      </w:r>
      <w:r>
        <w:t xml:space="preserve">“Financial Constraints in</w:t>
      </w:r>
      <w:r>
        <w:t xml:space="preserve"> </w:t>
      </w:r>
      <w:r>
        <w:t xml:space="preserve">China</w:t>
      </w:r>
      <w:r>
        <w:t xml:space="preserve">:</w:t>
      </w:r>
      <w:r>
        <w:t xml:space="preserve"> </w:t>
      </w:r>
      <w:r>
        <w:t xml:space="preserve">Firm</w:t>
      </w:r>
      <w:r>
        <w:t xml:space="preserve">-Level Evidence.”</w:t>
      </w:r>
      <w:r>
        <w:t xml:space="preserve"> </w:t>
      </w:r>
      <w:r>
        <w:rPr>
          <w:iCs/>
          <w:i/>
        </w:rPr>
        <w:t xml:space="preserve">China Economic Review</w:t>
      </w:r>
      <w:r>
        <w:t xml:space="preserve"> </w:t>
      </w:r>
      <w:r>
        <w:t xml:space="preserve">21 (3): 411–22.</w:t>
      </w:r>
      <w:r>
        <w:t xml:space="preserve"> </w:t>
      </w:r>
      <w:hyperlink r:id="rId27">
        <w:r>
          <w:rPr>
            <w:rStyle w:val="Hyperlink"/>
          </w:rPr>
          <w:t xml:space="preserve">https://doi.org/10.1016/j.chieco.2010.03.001</w:t>
        </w:r>
      </w:hyperlink>
      <w:r>
        <w:t xml:space="preserve">.</w:t>
      </w:r>
    </w:p>
    <w:bookmarkEnd w:id="28"/>
    <w:bookmarkStart w:id="30" w:name="ref-rashid_firms_2017"/>
    <w:p>
      <w:pPr>
        <w:pStyle w:val="Bibliography"/>
      </w:pPr>
      <w:r>
        <w:t xml:space="preserve">Rashid, Abdul, and Muhammad Saeed. 2017.</w:t>
      </w:r>
      <w:r>
        <w:t xml:space="preserve"> </w:t>
      </w:r>
      <w:r>
        <w:t xml:space="preserve">“Firms’ Investment Decisions – Explaining the Role of Uncertainty.”</w:t>
      </w:r>
      <w:r>
        <w:t xml:space="preserve"> </w:t>
      </w:r>
      <w:r>
        <w:rPr>
          <w:iCs/>
          <w:i/>
        </w:rPr>
        <w:t xml:space="preserve">Journal of Economic Studies</w:t>
      </w:r>
      <w:r>
        <w:t xml:space="preserve"> </w:t>
      </w:r>
      <w:r>
        <w:t xml:space="preserve">44 (5): 833–60.</w:t>
      </w:r>
      <w:r>
        <w:t xml:space="preserve"> </w:t>
      </w:r>
      <w:hyperlink r:id="rId29">
        <w:r>
          <w:rPr>
            <w:rStyle w:val="Hyperlink"/>
          </w:rPr>
          <w:t xml:space="preserve">https://doi.org/10.1108/JES-02-2016-0041</w:t>
        </w:r>
      </w:hyperlink>
      <w:r>
        <w:t xml:space="preserve">.</w:t>
      </w:r>
    </w:p>
    <w:bookmarkEnd w:id="30"/>
    <w:bookmarkStart w:id="32" w:name="ref-saeed_bank_2012"/>
    <w:p>
      <w:pPr>
        <w:pStyle w:val="Bibliography"/>
      </w:pPr>
      <w:r>
        <w:t xml:space="preserve">Saeed, Abubakr, and Olusegun Vincent. 2012.</w:t>
      </w:r>
      <w:r>
        <w:t xml:space="preserve"> </w:t>
      </w:r>
      <w:r>
        <w:t xml:space="preserve">“Bank</w:t>
      </w:r>
      <w:r>
        <w:t xml:space="preserve"> </w:t>
      </w:r>
      <w:r>
        <w:t xml:space="preserve">Concentration</w:t>
      </w:r>
      <w:r>
        <w:t xml:space="preserve"> </w:t>
      </w:r>
      <w:r>
        <w:t xml:space="preserve">and</w:t>
      </w:r>
      <w:r>
        <w:t xml:space="preserve"> </w:t>
      </w:r>
      <w:r>
        <w:t xml:space="preserve">Firm</w:t>
      </w:r>
      <w:r>
        <w:t xml:space="preserve"> </w:t>
      </w:r>
      <w:r>
        <w:t xml:space="preserve">Investment</w:t>
      </w:r>
      <w:r>
        <w:t xml:space="preserve">:</w:t>
      </w:r>
      <w:r>
        <w:t xml:space="preserve"> </w:t>
      </w:r>
      <w:r>
        <w:t xml:space="preserve">Empirical</w:t>
      </w:r>
      <w:r>
        <w:t xml:space="preserve"> </w:t>
      </w:r>
      <w:r>
        <w:t xml:space="preserve">Evidence</w:t>
      </w:r>
      <w:r>
        <w:t xml:space="preserve"> </w:t>
      </w:r>
      <w:r>
        <w:t xml:space="preserve">from</w:t>
      </w:r>
      <w:r>
        <w:t xml:space="preserve"> </w:t>
      </w:r>
      <w:r>
        <w:t xml:space="preserve">India</w:t>
      </w:r>
      <w:r>
        <w:t xml:space="preserve">.”</w:t>
      </w:r>
      <w:r>
        <w:t xml:space="preserve"> </w:t>
      </w:r>
      <w:r>
        <w:rPr>
          <w:iCs/>
          <w:i/>
        </w:rPr>
        <w:t xml:space="preserve">Emerging Markets Finance &amp; Trade</w:t>
      </w:r>
      <w:r>
        <w:t xml:space="preserve"> </w:t>
      </w:r>
      <w:r>
        <w:t xml:space="preserve">48 (3): 85–105.</w:t>
      </w:r>
      <w:r>
        <w:t xml:space="preserve"> </w:t>
      </w:r>
      <w:hyperlink r:id="rId31">
        <w:r>
          <w:rPr>
            <w:rStyle w:val="Hyperlink"/>
          </w:rPr>
          <w:t xml:space="preserve">https://www.jstor.org/stable/41739199</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w:t>
      </w:r>
      <w:r>
        <w:t xml:space="preserve"> </w:t>
      </w:r>
      <w:r>
        <w:t xml:space="preserve">Panagiotidis and Printzis (2021)</w:t>
      </w:r>
      <w:r>
        <w:t xml:space="preserve">,</w:t>
      </w:r>
      <w:r>
        <w:t xml:space="preserve"> </w:t>
      </w:r>
      <w:r>
        <w:t xml:space="preserve">Rashid and Saeed (2017)</w:t>
      </w:r>
      <w:r>
        <w:t xml:space="preserve">,</w:t>
      </w:r>
      <w:r>
        <w:t xml:space="preserve"> </w:t>
      </w:r>
      <w:r>
        <w:t xml:space="preserve">Poncet, Steingress, and Vandenbussche (2010)</w:t>
      </w:r>
      <w:r>
        <w:t xml:space="preserve">,</w:t>
      </w:r>
      <w:r>
        <w:t xml:space="preserve"> </w:t>
      </w:r>
      <w:r>
        <w:t xml:space="preserve">Gezici, Orhangazi, and Yalçın (2019)</w:t>
      </w:r>
      <w:r>
        <w:t xml:space="preserve">,</w:t>
      </w:r>
      <w:r>
        <w:t xml:space="preserve"> </w:t>
      </w:r>
      <w:r>
        <w:t xml:space="preserve">Saeed and Vincent (2012)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016/j.chieco.2010.03.001" TargetMode="External" /><Relationship Type="http://schemas.openxmlformats.org/officeDocument/2006/relationships/hyperlink" Id="rId25" Target="https://doi.org/10.1016/j.jebo.2021.01.011" TargetMode="External" /><Relationship Type="http://schemas.openxmlformats.org/officeDocument/2006/relationships/hyperlink" Id="rId23" Target="https://doi.org/10.1080/1540496X.2018.1473247" TargetMode="External" /><Relationship Type="http://schemas.openxmlformats.org/officeDocument/2006/relationships/hyperlink" Id="rId29" Target="https://doi.org/10.1108/JES-02-2016-0041" TargetMode="External" /><Relationship Type="http://schemas.openxmlformats.org/officeDocument/2006/relationships/hyperlink" Id="rId31" Target="https://www.jstor.org/stable/41739199"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6/j.chieco.2010.03.001" TargetMode="External" /><Relationship Type="http://schemas.openxmlformats.org/officeDocument/2006/relationships/hyperlink" Id="rId25" Target="https://doi.org/10.1016/j.jebo.2021.01.011" TargetMode="External" /><Relationship Type="http://schemas.openxmlformats.org/officeDocument/2006/relationships/hyperlink" Id="rId23" Target="https://doi.org/10.1080/1540496X.2018.1473247" TargetMode="External" /><Relationship Type="http://schemas.openxmlformats.org/officeDocument/2006/relationships/hyperlink" Id="rId29" Target="https://doi.org/10.1108/JES-02-2016-0041" TargetMode="External" /><Relationship Type="http://schemas.openxmlformats.org/officeDocument/2006/relationships/hyperlink" Id="rId31" Target="https://www.jstor.org/stable/41739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dc:title>
  <dc:creator>Pallak Goyal</dc:creator>
  <cp:keywords/>
  <dcterms:created xsi:type="dcterms:W3CDTF">2024-01-09T07:53:52Z</dcterms:created>
  <dcterms:modified xsi:type="dcterms:W3CDTF">2024-01-09T07:53:52Z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2024-01-09</vt:lpwstr>
  </property>
  <property fmtid="{D5CDD505-2E9C-101B-9397-08002B2CF9AE}" pid="4" name="output">
    <vt:lpwstr>word_document</vt:lpwstr>
  </property>
</Properties>
</file>