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DELTA CORP</w:t>
      </w:r>
    </w:p>
    <w:p>
      <w:r>
        <w:rPr>
          <w:rFonts w:ascii="Arial" w:cs="Arial" w:eastAsia="Arial" w:hAnsi="Arial"/>
          <w:color w:val="666666"/>
          <w:sz w:val="24"/>
          <w:szCs w:val="24"/>
        </w:rPr>
        <w:t xml:space="preserve">Customer SLA Commitments &amp; Performance Report — Q4 2025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Document Date: January 10, 2026 | Prepared by: Engineering &amp; Customer Success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SLA Commitments to Customers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Alpha Corp commits to the following service levels in all Enterprise customer agreements. These obligations are binding and subject to financial penalties as described below.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Committed Level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Window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if Breached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rolling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 credit per 0.1% below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credit if avg exceeds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Processing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 hours for batch 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per hour of delay beyond 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Response — P1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 acknowledgment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 penalty per breach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Response — P2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 hours acknowledgment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 penalty per breach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Export 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 credit per 0.5% below threshold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Q4 2025 Performance vs.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P95 (ms)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Response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Status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Issued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278ms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min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November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99.87%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312ms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 min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—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291ms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min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November 2025 SLA breach was caused by a database migration incident affecting the EU-West region. Root cause analysis completed. Remediation implemented December 3, 2025. Three enterprise customers received credits totaling $48,000.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Top 5 Enterprise Customers by SLA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Tier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Terms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 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Meridian Financial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Platinum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99.95% uptime, 4hr P1 response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Arctus Health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$890,000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Platinum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99.9%, HIPAA BAA included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Vortex Logistics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$740,000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standard terms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ClearBridge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$620,000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99.9%, financial data SLA addendum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November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Pinnacle Retail 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standard, dedicated CSM required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SLA Risk Post-Acquisition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proposed acquisition of Beta Technologies introduces the following SLA risks that must be assessed during integration planning: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customers have different SLA tiers — harmonization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renegotiation required for ~40 Beta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infrastructure post-migration may strain Alpha uptime commitments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Potential breach risk for Meridian Financial and Arctus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P1 response SLA is 2 hours vs Alpha's 1 hour 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 team must be trained and scaled before Beta tickets route to Alpha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has no financial penalty clauses — Alpha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review needed before any customer communication about combined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DELTA CORP — CONFIDENTIAL | SLA Report | Q4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2026-06-13T06:19:31.413Z</dcterms:created>
  <dcterms:modified xsi:type="dcterms:W3CDTF">2026-06-13T06:19:31.413Z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