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3C5E"/>
          <w:sz w:val="48"/>
          <w:szCs w:val="48"/>
        </w:rPr>
        <w:t xml:space="preserve">DELTA CORP</w:t>
      </w:r>
    </w:p>
    <w:p>
      <w:r>
        <w:rPr>
          <w:rFonts w:ascii="Arial" w:cs="Arial" w:eastAsia="Arial" w:hAnsi="Arial"/>
          <w:color w:val="666666"/>
          <w:sz w:val="24"/>
          <w:szCs w:val="24"/>
        </w:rPr>
        <w:t xml:space="preserve">Vendor Contract Summary — Confidential</w:t>
      </w:r>
    </w:p>
    <w:p>
      <w:r>
        <w:rPr>
          <w:rFonts w:ascii="Arial" w:cs="Arial" w:eastAsia="Arial" w:hAnsi="Arial"/>
          <w:color w:val="999999"/>
          <w:sz w:val="20"/>
          <w:szCs w:val="20"/>
        </w:rPr>
        <w:t xml:space="preserve">Document Date: January 15, 2026 | Classification: Internal Use Only</w:t>
      </w:r>
    </w:p>
    <w:p>
      <w:pPr>
        <w:spacing w:after="0" w:before="200"/>
      </w:pPr>
      <w:r>
        <w:t xml:space="preserve"/>
      </w:r>
    </w:p>
    <w:p>
      <w:pPr>
        <w:pStyle w:val="Heading1"/>
        <w:spacing w:after="160" w:before="320"/>
      </w:pPr>
      <w:r>
        <w:rPr>
          <w:rFonts w:ascii="Arial" w:cs="Arial" w:eastAsia="Arial" w:hAnsi="Arial"/>
          <w:b/>
          <w:bCs/>
          <w:color w:val="1A3C5E"/>
          <w:sz w:val="32"/>
          <w:szCs w:val="32"/>
        </w:rPr>
        <w:t xml:space="preserve">1. Overview</w:t>
      </w:r>
    </w:p>
    <w:p>
      <w:pPr>
        <w:spacing w:after="80" w:before="80"/>
      </w:pPr>
      <w:r>
        <w:rPr>
          <w:rFonts w:ascii="Arial" w:cs="Arial" w:eastAsia="Arial" w:hAnsi="Arial"/>
          <w:sz w:val="22"/>
          <w:szCs w:val="22"/>
        </w:rPr>
        <w:t xml:space="preserve">Alpha Corp is a B2B SaaS company headquartered in San Francisco, California, with approximately $210M ARR and 340 employees. This document summarizes all active vendor contracts as of Q1 2026, including cloud infrastructure, software, and professional services agreements.</w:t>
      </w:r>
    </w:p>
    <w:p>
      <w:pPr>
        <w:spacing w:after="0" w:before="160"/>
      </w:pPr>
      <w:r>
        <w:t xml:space="preserve"/>
      </w:r>
    </w:p>
    <w:p>
      <w:pPr>
        <w:pStyle w:val="Heading1"/>
        <w:spacing w:after="160" w:before="320"/>
      </w:pPr>
      <w:r>
        <w:rPr>
          <w:rFonts w:ascii="Arial" w:cs="Arial" w:eastAsia="Arial" w:hAnsi="Arial"/>
          <w:b/>
          <w:bCs/>
          <w:color w:val="1A3C5E"/>
          <w:sz w:val="32"/>
          <w:szCs w:val="32"/>
        </w:rPr>
        <w:t xml:space="preserve">2. Cloud Infrastructure Vendors</w:t>
      </w:r>
    </w:p>
    <w:p>
      <w:pPr>
        <w:pStyle w:val="Heading2"/>
        <w:spacing w:after="120" w:before="240"/>
      </w:pPr>
      <w:r>
        <w:rPr>
          <w:rFonts w:ascii="Arial" w:cs="Arial" w:eastAsia="Arial" w:hAnsi="Arial"/>
          <w:b/>
          <w:bCs/>
          <w:color w:val="1A3C5E"/>
          <w:sz w:val="26"/>
          <w:szCs w:val="26"/>
        </w:rPr>
        <w:t xml:space="preserve">2.1 Amazon Web Services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DELTA-AWS-2024-001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Reserved Instance + Savings Plan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28, 2027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60-day opt-out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Uptime Guarantee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99.99% for EC2, RDS, S3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Clause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credits up to 30% of monthly spend if SLA breached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Chen, AWS Enterprise Account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Manager 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s.chen@aws-enterprise.com</w:t>
            </w:r>
          </w:p>
        </w:tc>
      </w:tr>
    </w:tbl>
    <w:p>
      <w:pPr>
        <w:spacing w:after="0" w:before="160"/>
      </w:pPr>
      <w:r>
        <w:t xml:space="preserve"/>
      </w:r>
    </w:p>
    <w:p>
      <w:pPr>
        <w:spacing w:after="80" w:before="80"/>
      </w:pPr>
      <w:r>
        <w:rPr>
          <w:rFonts w:ascii="Arial" w:cs="Arial" w:eastAsia="Arial" w:hAnsi="Arial"/>
          <w:sz w:val="22"/>
          <w:szCs w:val="22"/>
        </w:rPr>
        <w:t xml:space="preserve">Alpha's AWS environment hosts the core product infrastructure including compute (EC2), database (RDS PostgreSQL), object storage (S3), and CDN (CloudFront). The current reserved instance commitment covers 18 r5.2xlarge instances and 12 m5.xlarge instances.</w:t>
      </w:r>
    </w:p>
    <w:p>
      <w:pPr>
        <w:spacing w:after="0" w:before="160"/>
      </w:pPr>
      <w:r>
        <w:t xml:space="preserve"/>
      </w:r>
    </w:p>
    <w:p>
      <w:pPr>
        <w:pStyle w:val="Heading2"/>
        <w:spacing w:after="120" w:before="240"/>
      </w:pPr>
      <w:r>
        <w:rPr>
          <w:rFonts w:ascii="Arial" w:cs="Arial" w:eastAsia="Arial" w:hAnsi="Arial"/>
          <w:b/>
          <w:bCs/>
          <w:color w:val="1A3C5E"/>
          <w:sz w:val="26"/>
          <w:szCs w:val="26"/>
        </w:rPr>
        <w:t xml:space="preserve">2.2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DELTA-SNOW-2025-003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On-Demand + Annual Capacity Commitment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31, 2027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90-day opt-out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Uptime Guarantee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availability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Clause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credits of 10% monthly if uptime falls below 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Marcus Williams, Snowflake Strategic Accounts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warehouse for product analytics, customer reporting, finance BI</w:t>
            </w:r>
          </w:p>
        </w:tc>
      </w:tr>
    </w:tbl>
    <w:p>
      <w:pPr>
        <w:spacing w:after="0" w:before="160"/>
      </w:pPr>
      <w:r>
        <w:t xml:space="preserve"/>
      </w:r>
    </w:p>
    <w:p>
      <w:pPr>
        <w:pStyle w:val="Heading2"/>
        <w:spacing w:after="120" w:before="240"/>
      </w:pPr>
      <w:r>
        <w:rPr>
          <w:rFonts w:ascii="Arial" w:cs="Arial" w:eastAsia="Arial" w:hAnsi="Arial"/>
          <w:b/>
          <w:bCs/>
          <w:color w:val="1A3C5E"/>
          <w:sz w:val="26"/>
          <w:szCs w:val="26"/>
        </w:rPr>
        <w:t xml:space="preserve">2.3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DELTA-DD-2025-007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Enterprise License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August 31,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30-day opt-out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platform availability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monitoring, APM, log management for all production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Clause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credit-based compensation only</w:t>
            </w:r>
          </w:p>
        </w:tc>
      </w:tr>
    </w:tbl>
    <w:p>
      <w:pPr>
        <w:spacing w:after="0" w:before="160"/>
      </w:pPr>
      <w:r>
        <w:t xml:space="preserve"/>
      </w:r>
    </w:p>
    <w:p>
      <w:pPr>
        <w:pStyle w:val="Heading1"/>
        <w:spacing w:after="160" w:before="320"/>
      </w:pPr>
      <w:r>
        <w:rPr>
          <w:rFonts w:ascii="Arial" w:cs="Arial" w:eastAsia="Arial" w:hAnsi="Arial"/>
          <w:b/>
          <w:bCs/>
          <w:color w:val="1A3C5E"/>
          <w:sz w:val="32"/>
          <w:szCs w:val="32"/>
        </w:rPr>
        <w:t xml:space="preserve">3. Business Software Vendors</w:t>
      </w:r>
    </w:p>
    <w:p>
      <w:pPr>
        <w:pStyle w:val="Heading2"/>
        <w:spacing w:after="120" w:before="240"/>
      </w:pPr>
      <w:r>
        <w:rPr>
          <w:rFonts w:ascii="Arial" w:cs="Arial" w:eastAsia="Arial" w:hAnsi="Arial"/>
          <w:b/>
          <w:bCs/>
          <w:color w:val="1A3C5E"/>
          <w:sz w:val="26"/>
          <w:szCs w:val="26"/>
        </w:rPr>
        <w:t xml:space="preserve">3.1 Salesforce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DELTA-SF-2024-002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Edition — 340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90-day opt-out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Cloud, Service Cloud, Revenue Intelligence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Jake Patel, Salesforce Admin — jpatel@alphacorp.com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Seats licensed for full company. Acquisition will require seat review.</w:t>
            </w:r>
          </w:p>
        </w:tc>
      </w:tr>
    </w:tbl>
    <w:p>
      <w:pPr>
        <w:spacing w:after="0" w:before="160"/>
      </w:pPr>
      <w:r>
        <w:t xml:space="preserve"/>
      </w:r>
    </w:p>
    <w:p>
      <w:pPr>
        <w:pStyle w:val="Heading2"/>
        <w:spacing w:after="120" w:before="240"/>
      </w:pPr>
      <w:r>
        <w:rPr>
          <w:rFonts w:ascii="Arial" w:cs="Arial" w:eastAsia="Arial" w:hAnsi="Arial"/>
          <w:b/>
          <w:bCs/>
          <w:color w:val="1A3C5E"/>
          <w:sz w:val="26"/>
          <w:szCs w:val="26"/>
        </w:rPr>
        <w:t xml:space="preserve">3.2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DELTA-M365-2025-001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365 E3 — 340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31, 2027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60-day opt-out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SharePoint, OneDrive, Exchange, Office 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Operations — itops@alphacorp.com</w:t>
            </w:r>
          </w:p>
        </w:tc>
      </w:tr>
    </w:tbl>
    <w:p>
      <w:pPr>
        <w:spacing w:after="0" w:before="160"/>
      </w:pPr>
      <w:r>
        <w:t xml:space="preserve"/>
      </w:r>
    </w:p>
    <w:p>
      <w:pPr>
        <w:pStyle w:val="Heading1"/>
        <w:spacing w:after="160" w:before="320"/>
      </w:pPr>
      <w:r>
        <w:rPr>
          <w:rFonts w:ascii="Arial" w:cs="Arial" w:eastAsia="Arial" w:hAnsi="Arial"/>
          <w:b/>
          <w:bCs/>
          <w:color w:val="1A3C5E"/>
          <w:sz w:val="32"/>
          <w:szCs w:val="32"/>
        </w:rPr>
        <w:t xml:space="preserve">4. Contract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Annual Value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Renewal Risk</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Integration Note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2027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 also uses AWS — review for duplicate commitments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Snowflake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2027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 uses Databricks — data platform consolidation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Aug 2026 renewal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30-day opt-out window approaching — decision needed Q2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Salesforce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2026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 uses HubSpot — CRM consolidation is a major integration task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365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2027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 also on M365 — tenant merger required post-close</w:t>
            </w:r>
          </w:p>
        </w:tc>
      </w:tr>
    </w:tbl>
    <w:p>
      <w:pPr>
        <w:spacing w:after="0" w:before="160"/>
      </w:pPr>
      <w:r>
        <w:t xml:space="preserve"/>
      </w:r>
    </w:p>
    <w:p>
      <w:pPr>
        <w:spacing w:after="80" w:before="80"/>
      </w:pPr>
      <w:r>
        <w:rPr>
          <w:rFonts w:ascii="Arial" w:cs="Arial" w:eastAsia="Arial" w:hAnsi="Arial"/>
          <w:sz w:val="22"/>
          <w:szCs w:val="22"/>
        </w:rPr>
        <w:t xml:space="preserve">TOTAL ANNUAL VENDOR SPEND (Alpha): $3,886,000</w:t>
      </w:r>
    </w:p>
    <w:p>
      <w:pPr>
        <w:spacing w:after="0" w:before="200"/>
      </w:pPr>
      <w:r>
        <w:t xml:space="preserve"/>
      </w:r>
    </w:p>
    <w:p>
      <w:r>
        <w:rPr>
          <w:rFonts w:ascii="Arial" w:cs="Arial" w:eastAsia="Arial" w:hAnsi="Arial"/>
          <w:color w:val="AAAAAA"/>
          <w:sz w:val="18"/>
          <w:szCs w:val="18"/>
        </w:rPr>
        <w:t xml:space="preserve">DELTA CORP — CONFIDENTIAL | Vendor Contracts | Q1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2026-06-13T06:19:31.362Z</dcterms:created>
  <dcterms:modified xsi:type="dcterms:W3CDTF">2026-06-13T06:19:31.376Z</dcterms:modified>
</cp:coreProperties>
</file>

<file path=docProps/custom.xml><?xml version="1.0" encoding="utf-8"?>
<Properties xmlns="http://schemas.openxmlformats.org/officeDocument/2006/custom-properties" xmlns:vt="http://schemas.openxmlformats.org/officeDocument/2006/docPropsVTypes"/>
</file>