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b/>
          <w:bCs/>
          <w:caps/>
          <w:color w:val="5E5A51"/>
          <w:sz w:val="20"/>
          <w:szCs w:val="20"/>
        </w:rPr>
        <w:t xml:space="preserve">UX DESIGN BRIEF · V1.0</w:t>
      </w:r>
    </w:p>
    <w:p>
      <w:pPr>
        <w:spacing w:after="200" w:before="0"/>
      </w:pPr>
      <w:r>
        <w:rPr>
          <w:rFonts w:ascii="Georgia" w:cs="Georgia" w:eastAsia="Georgia" w:hAnsi="Georgia"/>
          <w:b/>
          <w:bCs/>
          <w:color w:val="1C1B19"/>
          <w:sz w:val="52"/>
          <w:szCs w:val="52"/>
        </w:rPr>
        <w:t xml:space="preserve">Move Mitra  to  Design Decisions</w:t>
      </w:r>
    </w:p>
    <w:p>
      <w:pPr>
        <w:spacing w:after="80" w:before="80"/>
      </w:pPr>
    </w:p>
    <w:p>
      <w:pPr>
        <w:spacing w:after="60" w:before="60"/>
      </w:pPr>
      <w:r>
        <w:rPr>
          <w:b/>
          <w:bCs/>
          <w:color w:val="1C1B19"/>
          <w:sz w:val="22"/>
          <w:szCs w:val="22"/>
        </w:rPr>
        <w:t xml:space="preserve">Product: </w:t>
      </w:r>
      <w:r>
        <w:rPr>
          <w:color w:val="4A4740"/>
          <w:sz w:val="22"/>
          <w:szCs w:val="22"/>
        </w:rPr>
        <w:t xml:space="preserve">Bilingual Knee-Safety App</w:t>
      </w:r>
    </w:p>
    <w:p>
      <w:pPr>
        <w:spacing w:after="60" w:before="60"/>
      </w:pPr>
      <w:r>
        <w:rPr>
          <w:b/>
          <w:bCs/>
          <w:color w:val="1C1B19"/>
          <w:sz w:val="22"/>
          <w:szCs w:val="22"/>
        </w:rPr>
        <w:t xml:space="preserve">Author: </w:t>
      </w:r>
      <w:r>
        <w:rPr>
          <w:color w:val="4A4740"/>
          <w:sz w:val="22"/>
          <w:szCs w:val="22"/>
        </w:rPr>
        <w:t xml:space="preserve">Pallavi Singh</w:t>
      </w:r>
    </w:p>
    <w:p>
      <w:pPr>
        <w:spacing w:after="60" w:before="60"/>
      </w:pPr>
      <w:r>
        <w:rPr>
          <w:b/>
          <w:bCs/>
          <w:color w:val="1C1B19"/>
          <w:sz w:val="22"/>
          <w:szCs w:val="22"/>
        </w:rPr>
        <w:t xml:space="preserve">Purpose: </w:t>
      </w:r>
      <w:r>
        <w:rPr>
          <w:color w:val="4A4740"/>
          <w:sz w:val="22"/>
          <w:szCs w:val="22"/>
        </w:rPr>
        <w:t xml:space="preserve">Documents the design rationale behind key UX decisions in the MVP</w:t>
      </w:r>
    </w:p>
    <w:p>
      <w:pPr>
        <w:spacing w:after="60" w:before="60"/>
      </w:pPr>
      <w:r>
        <w:rPr>
          <w:b/>
          <w:bCs/>
          <w:color w:val="1C1B19"/>
          <w:sz w:val="22"/>
          <w:szCs w:val="22"/>
        </w:rPr>
        <w:t xml:space="preserve">Live URL: </w:t>
      </w:r>
      <w:r>
        <w:rPr>
          <w:color w:val="4A4740"/>
          <w:sz w:val="22"/>
          <w:szCs w:val="22"/>
        </w:rPr>
        <w:t xml:space="preserve">gentle-move-buddy.lovable.app</w:t>
      </w:r>
    </w:p>
    <w:p>
      <w:pPr>
        <w:pBdr>
          <w:bottom w:val="single" w:color="DDD8CD" w:sz="6"/>
        </w:pBdr>
        <w:spacing w:after="240" w:before="240"/>
      </w:pPr>
    </w:p>
    <w:p>
      <w:pPr>
        <w:spacing w:after="160" w:before="400"/>
      </w:pPr>
      <w:r>
        <w:rPr>
          <w:b/>
          <w:bCs/>
          <w:color w:val="1C1B19"/>
          <w:sz w:val="32"/>
          <w:szCs w:val="32"/>
        </w:rPr>
        <w:t xml:space="preserve">1. Design Philosophy</w:t>
      </w:r>
    </w:p>
    <w:p>
      <w:pPr>
        <w:spacing w:after="80" w:before="80"/>
      </w:pPr>
      <w:r>
        <w:rPr>
          <w:color w:val="4A4740"/>
          <w:sz w:val="22"/>
          <w:szCs w:val="22"/>
        </w:rPr>
        <w:t xml:space="preserve">Move Mitra is built around one insight: the barrier to exercise for women 40+ with knee pain is not knowledge or motivation. It is fear. Every design decision in the app flows from that insight.</w:t>
      </w:r>
    </w:p>
    <w:p>
      <w:pPr>
        <w:spacing w:after="80" w:before="80"/>
      </w:pPr>
    </w:p>
    <w:p>
      <w:pPr>
        <w:spacing w:after="160" w:before="160"/>
      </w:pPr>
      <w:r>
        <w:rPr>
          <w:b/>
          <w:bCs/>
          <w:color w:val="1F5F5B"/>
          <w:sz w:val="24"/>
          <w:szCs w:val="24"/>
        </w:rPr>
        <w:t xml:space="preserve">Design principle: reduce anxiety before asking for effort.</w:t>
      </w:r>
    </w:p>
    <w:p>
      <w:pPr>
        <w:spacing w:after="80" w:before="80"/>
      </w:pPr>
    </w:p>
    <w:p>
      <w:pPr>
        <w:spacing w:after="80" w:before="80"/>
      </w:pPr>
      <w:r>
        <w:rPr>
          <w:color w:val="4A4740"/>
          <w:sz w:val="22"/>
          <w:szCs w:val="22"/>
        </w:rPr>
        <w:t xml:space="preserve">This means the app must make the user feel safe before asking them to move. Trust is built through language, tone, pacing, and reassurance  to  not through feature richness or visual complexity.</w:t>
      </w:r>
    </w:p>
    <w:p>
      <w:pPr>
        <w:pBdr>
          <w:bottom w:val="single" w:color="DDD8CD" w:sz="6"/>
        </w:pBdr>
        <w:spacing w:after="240" w:before="240"/>
      </w:pPr>
    </w:p>
    <w:p>
      <w:pPr>
        <w:spacing w:after="160" w:before="400"/>
      </w:pPr>
      <w:r>
        <w:rPr>
          <w:b/>
          <w:bCs/>
          <w:color w:val="1C1B19"/>
          <w:sz w:val="32"/>
          <w:szCs w:val="32"/>
        </w:rPr>
        <w:t xml:space="preserve">2. Bilingual Design</w:t>
      </w:r>
    </w:p>
    <w:p>
      <w:pPr>
        <w:spacing w:after="120" w:before="280"/>
      </w:pPr>
      <w:r>
        <w:rPr>
          <w:b/>
          <w:bCs/>
          <w:color w:val="1F5F5B"/>
          <w:sz w:val="26"/>
          <w:szCs w:val="26"/>
        </w:rPr>
        <w:t xml:space="preserve">The Decision</w:t>
      </w:r>
    </w:p>
    <w:p>
      <w:pPr>
        <w:spacing w:after="80" w:before="80"/>
      </w:pPr>
      <w:r>
        <w:rPr>
          <w:color w:val="4A4740"/>
          <w:sz w:val="22"/>
          <w:szCs w:val="22"/>
        </w:rPr>
        <w:t xml:space="preserve">Move Mitra launches in both English and Hindi with a persistent toggle visible on every screen. This was a non-negotiable design decision, not a nice-to-have.</w:t>
      </w:r>
    </w:p>
    <w:p>
      <w:pPr>
        <w:spacing w:after="80" w:before="80"/>
      </w:pPr>
    </w:p>
    <w:p>
      <w:pPr>
        <w:spacing w:after="120" w:before="280"/>
      </w:pPr>
      <w:r>
        <w:rPr>
          <w:b/>
          <w:bCs/>
          <w:color w:val="1F5F5B"/>
          <w:sz w:val="26"/>
          <w:szCs w:val="26"/>
        </w:rPr>
        <w:t xml:space="preserve">The Rationale</w:t>
      </w:r>
    </w:p>
    <w:p>
      <w:pPr>
        <w:pStyle w:val="ListParagraph"/>
        <w:numPr>
          <w:ilvl w:val="0"/>
          <w:numId w:val="1"/>
        </w:numPr>
        <w:spacing w:after="80" w:before="80"/>
      </w:pPr>
      <w:r>
        <w:rPr>
          <w:b/>
          <w:bCs/>
          <w:color w:val="1C1B19"/>
          <w:sz w:val="22"/>
          <w:szCs w:val="22"/>
        </w:rPr>
        <w:t xml:space="preserve">Language is a trust signal. </w:t>
      </w:r>
      <w:r>
        <w:rPr>
          <w:color w:val="4A4740"/>
          <w:sz w:val="22"/>
          <w:szCs w:val="22"/>
        </w:rPr>
        <w:t xml:space="preserve">For a 55-year-old woman in Delhi who has never used a fitness app, receiving instructions in Hindi signals that this product was made for her, not translated for her.</w:t>
      </w:r>
    </w:p>
    <w:p>
      <w:pPr>
        <w:pStyle w:val="ListParagraph"/>
        <w:numPr>
          <w:ilvl w:val="0"/>
          <w:numId w:val="1"/>
        </w:numPr>
        <w:spacing w:after="80" w:before="80"/>
      </w:pPr>
      <w:r>
        <w:rPr>
          <w:b/>
          <w:bCs/>
          <w:color w:val="1C1B19"/>
          <w:sz w:val="22"/>
          <w:szCs w:val="22"/>
        </w:rPr>
        <w:t xml:space="preserve">English-only creates cognitive load. </w:t>
      </w:r>
      <w:r>
        <w:rPr>
          <w:color w:val="4A4740"/>
          <w:sz w:val="22"/>
          <w:szCs w:val="22"/>
        </w:rPr>
        <w:t xml:space="preserve">When a user is already anxious about injuring herself, adding the cognitive effort of processing a second language increases the barrier to completion. Hindi removes that friction.</w:t>
      </w:r>
    </w:p>
    <w:p>
      <w:pPr>
        <w:pStyle w:val="ListParagraph"/>
        <w:numPr>
          <w:ilvl w:val="0"/>
          <w:numId w:val="1"/>
        </w:numPr>
        <w:spacing w:after="80" w:before="80"/>
      </w:pPr>
      <w:r>
        <w:rPr>
          <w:b/>
          <w:bCs/>
          <w:color w:val="1C1B19"/>
          <w:sz w:val="22"/>
          <w:szCs w:val="22"/>
        </w:rPr>
        <w:t xml:space="preserve">Discovery confirmed this. </w:t>
      </w:r>
      <w:r>
        <w:rPr>
          <w:color w:val="4A4740"/>
          <w:sz w:val="22"/>
          <w:szCs w:val="22"/>
        </w:rPr>
        <w:t xml:space="preserve">8 pre-build interviews showed significantly higher comfort levels when instructions were given in Hindi. Users described English-only fitness content as "meant for gym people."</w:t>
      </w:r>
    </w:p>
    <w:p>
      <w:pPr>
        <w:spacing w:after="80" w:before="80"/>
      </w:pPr>
    </w:p>
    <w:p>
      <w:pPr>
        <w:spacing w:after="120" w:before="280"/>
      </w:pPr>
      <w:r>
        <w:rPr>
          <w:b/>
          <w:bCs/>
          <w:color w:val="1F5F5B"/>
          <w:sz w:val="26"/>
          <w:szCs w:val="26"/>
        </w:rPr>
        <w:t xml:space="preserve">Implementation Decisions</w:t>
      </w:r>
    </w:p>
    <w:p>
      <w:pPr>
        <w:pStyle w:val="ListParagraph"/>
        <w:numPr>
          <w:ilvl w:val="0"/>
          <w:numId w:val="1"/>
        </w:numPr>
        <w:spacing w:after="80" w:before="80"/>
      </w:pPr>
      <w:r>
        <w:rPr>
          <w:color w:val="4A4740"/>
          <w:sz w:val="22"/>
          <w:szCs w:val="22"/>
        </w:rPr>
        <w:t xml:space="preserve">Toggle is visible on every screen, not just onboarding. User can switch mid-session without losing progress.</w:t>
      </w:r>
    </w:p>
    <w:p>
      <w:pPr>
        <w:pStyle w:val="ListParagraph"/>
        <w:numPr>
          <w:ilvl w:val="0"/>
          <w:numId w:val="1"/>
        </w:numPr>
        <w:spacing w:after="80" w:before="80"/>
      </w:pPr>
      <w:r>
        <w:rPr>
          <w:color w:val="4A4740"/>
          <w:sz w:val="22"/>
          <w:szCs w:val="22"/>
        </w:rPr>
        <w:t xml:space="preserve">Both languages are native  to  not auto-translated. Hindi copy was written and reviewed by a native speaker.</w:t>
      </w:r>
    </w:p>
    <w:p>
      <w:pPr>
        <w:pStyle w:val="ListParagraph"/>
        <w:numPr>
          <w:ilvl w:val="0"/>
          <w:numId w:val="1"/>
        </w:numPr>
        <w:spacing w:after="80" w:before="80"/>
      </w:pPr>
      <w:r>
        <w:rPr>
          <w:color w:val="4A4740"/>
          <w:sz w:val="22"/>
          <w:szCs w:val="22"/>
        </w:rPr>
        <w:t xml:space="preserve">Font choice supports Devanagari script rendering at all size levels.</w:t>
      </w:r>
    </w:p>
    <w:p>
      <w:pPr>
        <w:pStyle w:val="ListParagraph"/>
        <w:numPr>
          <w:ilvl w:val="0"/>
          <w:numId w:val="1"/>
        </w:numPr>
        <w:spacing w:after="80" w:before="80"/>
      </w:pPr>
      <w:r>
        <w:rPr>
          <w:color w:val="4A4740"/>
          <w:sz w:val="22"/>
          <w:szCs w:val="22"/>
        </w:rPr>
        <w:t xml:space="preserve">Voice guidance language matches the selected toggle.</w:t>
      </w:r>
    </w:p>
    <w:p>
      <w:pPr>
        <w:pBdr>
          <w:bottom w:val="single" w:color="DDD8CD" w:sz="6"/>
        </w:pBdr>
        <w:spacing w:after="240" w:before="240"/>
      </w:pPr>
    </w:p>
    <w:p>
      <w:pPr>
        <w:spacing w:after="160" w:before="400"/>
      </w:pPr>
      <w:r>
        <w:rPr>
          <w:b/>
          <w:bCs/>
          <w:color w:val="1C1B19"/>
          <w:sz w:val="32"/>
          <w:szCs w:val="32"/>
        </w:rPr>
        <w:t xml:space="preserve">3. Onboarding Design</w:t>
      </w:r>
    </w:p>
    <w:p>
      <w:pPr>
        <w:spacing w:after="120" w:before="280"/>
      </w:pPr>
      <w:r>
        <w:rPr>
          <w:b/>
          <w:bCs/>
          <w:color w:val="1F5F5B"/>
          <w:sz w:val="26"/>
          <w:szCs w:val="26"/>
        </w:rPr>
        <w:t xml:space="preserve">The Decision</w:t>
      </w:r>
    </w:p>
    <w:p>
      <w:pPr>
        <w:spacing w:after="80" w:before="80"/>
      </w:pPr>
      <w:r>
        <w:rPr>
          <w:color w:val="4A4740"/>
          <w:sz w:val="22"/>
          <w:szCs w:val="22"/>
        </w:rPr>
        <w:t xml:space="preserve">3-screen onboarding capturing age range, experience level, and current knee pain score. Completed in under 2 minutes. No account creation required at entry.</w:t>
      </w:r>
    </w:p>
    <w:p>
      <w:pPr>
        <w:spacing w:after="80" w:before="80"/>
      </w:pPr>
    </w:p>
    <w:p>
      <w:pPr>
        <w:spacing w:after="120" w:before="280"/>
      </w:pPr>
      <w:r>
        <w:rPr>
          <w:b/>
          <w:bCs/>
          <w:color w:val="1F5F5B"/>
          <w:sz w:val="26"/>
          <w:szCs w:val="26"/>
        </w:rPr>
        <w:t xml:space="preserve">The Rationale</w:t>
      </w:r>
    </w:p>
    <w:p>
      <w:pPr>
        <w:pStyle w:val="ListParagraph"/>
        <w:numPr>
          <w:ilvl w:val="0"/>
          <w:numId w:val="1"/>
        </w:numPr>
        <w:spacing w:after="80" w:before="80"/>
      </w:pPr>
      <w:r>
        <w:rPr>
          <w:b/>
          <w:bCs/>
          <w:color w:val="1C1B19"/>
          <w:sz w:val="22"/>
          <w:szCs w:val="22"/>
        </w:rPr>
        <w:t xml:space="preserve">Reducing barriers at entry. </w:t>
      </w:r>
      <w:r>
        <w:rPr>
          <w:color w:val="4A4740"/>
          <w:sz w:val="22"/>
          <w:szCs w:val="22"/>
        </w:rPr>
        <w:t xml:space="preserve">Requiring account creation before showing value is a conversion killer for a trust-sensitive segment. The user sees the program before being asked to commit.</w:t>
      </w:r>
    </w:p>
    <w:p>
      <w:pPr>
        <w:pStyle w:val="ListParagraph"/>
        <w:numPr>
          <w:ilvl w:val="0"/>
          <w:numId w:val="1"/>
        </w:numPr>
        <w:spacing w:after="80" w:before="80"/>
      </w:pPr>
      <w:r>
        <w:rPr>
          <w:b/>
          <w:bCs/>
          <w:color w:val="1C1B19"/>
          <w:sz w:val="22"/>
          <w:szCs w:val="22"/>
        </w:rPr>
        <w:t xml:space="preserve">Pain score as Day 0 baseline. </w:t>
      </w:r>
      <w:r>
        <w:rPr>
          <w:color w:val="4A4740"/>
          <w:sz w:val="22"/>
          <w:szCs w:val="22"/>
        </w:rPr>
        <w:t xml:space="preserve">Capturing pain at onboarding creates a comparison point. By Day 30, showing the user their pain trend from Day 0 to Day 30 is the most powerful retention and satisfaction signal the app can produce.</w:t>
      </w:r>
    </w:p>
    <w:p>
      <w:pPr>
        <w:pStyle w:val="ListParagraph"/>
        <w:numPr>
          <w:ilvl w:val="0"/>
          <w:numId w:val="1"/>
        </w:numPr>
        <w:spacing w:after="80" w:before="80"/>
      </w:pPr>
      <w:r>
        <w:rPr>
          <w:b/>
          <w:bCs/>
          <w:color w:val="1C1B19"/>
          <w:sz w:val="22"/>
          <w:szCs w:val="22"/>
        </w:rPr>
        <w:t xml:space="preserve">Tone is gentle, not clinical. </w:t>
      </w:r>
      <w:r>
        <w:rPr>
          <w:color w:val="4A4740"/>
          <w:sz w:val="22"/>
          <w:szCs w:val="22"/>
        </w:rPr>
        <w:t xml:space="preserve">Screen copy opens with "Knee pain? Don't worry. Let's start moving safely together." This is deliberate. The first thing the app says must reduce anxiety, not ask for data.</w:t>
      </w:r>
    </w:p>
    <w:p>
      <w:pPr>
        <w:pBdr>
          <w:bottom w:val="single" w:color="DDD8CD" w:sz="6"/>
        </w:pBdr>
        <w:spacing w:after="240" w:before="240"/>
      </w:pPr>
    </w:p>
    <w:p>
      <w:pPr>
        <w:spacing w:after="160" w:before="400"/>
      </w:pPr>
      <w:r>
        <w:rPr>
          <w:b/>
          <w:bCs/>
          <w:color w:val="1C1B19"/>
          <w:sz w:val="32"/>
          <w:szCs w:val="32"/>
        </w:rPr>
        <w:t xml:space="preserve">4. Psychological Safety Features</w:t>
      </w:r>
    </w:p>
    <w:p>
      <w:pPr>
        <w:spacing w:after="120" w:before="280"/>
      </w:pPr>
      <w:r>
        <w:rPr>
          <w:b/>
          <w:bCs/>
          <w:color w:val="1F5F5B"/>
          <w:sz w:val="26"/>
          <w:szCs w:val="26"/>
        </w:rPr>
        <w:t xml:space="preserve">Daily Confidence Check</w:t>
      </w:r>
    </w:p>
    <w:p>
      <w:pPr>
        <w:spacing w:after="80" w:before="80"/>
      </w:pPr>
      <w:r>
        <w:rPr>
          <w:color w:val="4A4740"/>
          <w:sz w:val="22"/>
          <w:szCs w:val="22"/>
        </w:rPr>
        <w:t xml:space="preserve">Before each session, users are asked: "How confident do you feel today?" This serves two functions: it surfaces emotional state before physical exertion, and it creates a second trend line alongside pain score that shows growing confidence over 30 days.</w:t>
      </w:r>
    </w:p>
    <w:p>
      <w:pPr>
        <w:spacing w:after="80" w:before="80"/>
      </w:pPr>
    </w:p>
    <w:p>
      <w:pPr>
        <w:spacing w:after="120" w:before="280"/>
      </w:pPr>
      <w:r>
        <w:rPr>
          <w:b/>
          <w:bCs/>
          <w:color w:val="1F5F5B"/>
          <w:sz w:val="26"/>
          <w:szCs w:val="26"/>
        </w:rPr>
        <w:t xml:space="preserve">Safe Mode</w:t>
      </w:r>
    </w:p>
    <w:p>
      <w:pPr>
        <w:spacing w:after="80" w:before="80"/>
      </w:pPr>
      <w:r>
        <w:rPr>
          <w:color w:val="4A4740"/>
          <w:sz w:val="22"/>
          <w:szCs w:val="22"/>
        </w:rPr>
        <w:t xml:space="preserve">A toggle that reduces exercise intensity for high-pain days. The system recommends Safe Mode when the daily pain score exceeds 7, but the user retains final control. This design choice is intentional: the user must never feel overridden by the app. Autonomy builds trust.</w:t>
      </w:r>
    </w:p>
    <w:p>
      <w:pPr>
        <w:spacing w:after="80" w:before="80"/>
      </w:pPr>
    </w:p>
    <w:p>
      <w:pPr>
        <w:spacing w:after="120" w:before="280"/>
      </w:pPr>
      <w:r>
        <w:rPr>
          <w:b/>
          <w:bCs/>
          <w:color w:val="1F5F5B"/>
          <w:sz w:val="26"/>
          <w:szCs w:val="26"/>
        </w:rPr>
        <w:t xml:space="preserve">Micro-Education Clips</w:t>
      </w:r>
    </w:p>
    <w:p>
      <w:pPr>
        <w:spacing w:after="80" w:before="80"/>
      </w:pPr>
      <w:r>
        <w:rPr>
          <w:color w:val="4A4740"/>
          <w:sz w:val="22"/>
          <w:szCs w:val="22"/>
        </w:rPr>
        <w:t xml:space="preserve">Short in-app education clips address the specific fears surfaced in discovery:</w:t>
      </w:r>
    </w:p>
    <w:p>
      <w:pPr>
        <w:pStyle w:val="ListParagraph"/>
        <w:numPr>
          <w:ilvl w:val="0"/>
          <w:numId w:val="1"/>
        </w:numPr>
        <w:spacing w:after="80" w:before="80"/>
      </w:pPr>
      <w:r>
        <w:rPr>
          <w:color w:val="4A4740"/>
          <w:sz w:val="22"/>
          <w:szCs w:val="22"/>
        </w:rPr>
        <w:t xml:space="preserve">"You won't break your knees"  to  addresses the most common fear directly</w:t>
      </w:r>
    </w:p>
    <w:p>
      <w:pPr>
        <w:pStyle w:val="ListParagraph"/>
        <w:numPr>
          <w:ilvl w:val="0"/>
          <w:numId w:val="1"/>
        </w:numPr>
        <w:spacing w:after="80" w:before="80"/>
      </w:pPr>
      <w:r>
        <w:rPr>
          <w:color w:val="4A4740"/>
          <w:sz w:val="22"/>
          <w:szCs w:val="22"/>
        </w:rPr>
        <w:t xml:space="preserve">"Why strength reduces pain"  to  reframes the purpose of exercise from performance to protection</w:t>
      </w:r>
    </w:p>
    <w:p>
      <w:pPr>
        <w:pStyle w:val="ListParagraph"/>
        <w:numPr>
          <w:ilvl w:val="0"/>
          <w:numId w:val="1"/>
        </w:numPr>
        <w:spacing w:after="80" w:before="80"/>
      </w:pPr>
      <w:r>
        <w:rPr>
          <w:color w:val="4A4740"/>
          <w:sz w:val="22"/>
          <w:szCs w:val="22"/>
        </w:rPr>
        <w:t xml:space="preserve">"You don't need a gym"  to  corrects the belief that knee strengthening requires equipment</w:t>
      </w:r>
    </w:p>
    <w:p>
      <w:pPr>
        <w:spacing w:after="80" w:before="80"/>
      </w:pPr>
      <w:r>
        <w:rPr>
          <w:color w:val="4A4740"/>
          <w:sz w:val="22"/>
          <w:szCs w:val="22"/>
        </w:rPr>
        <w:t xml:space="preserve">These clips are placed at natural anxiety points in the user journey, not in a library. They appear before the first session, before Week 2 (when intensity increases), and when Safe Mode is activated.</w:t>
      </w:r>
    </w:p>
    <w:p>
      <w:pPr>
        <w:pBdr>
          <w:bottom w:val="single" w:color="DDD8CD" w:sz="6"/>
        </w:pBdr>
        <w:spacing w:after="240" w:before="240"/>
      </w:pPr>
    </w:p>
    <w:p>
      <w:pPr>
        <w:spacing w:after="160" w:before="400"/>
      </w:pPr>
      <w:r>
        <w:rPr>
          <w:b/>
          <w:bCs/>
          <w:color w:val="1C1B19"/>
          <w:sz w:val="32"/>
          <w:szCs w:val="32"/>
        </w:rPr>
        <w:t xml:space="preserve">5. Program Structure Design</w:t>
      </w:r>
    </w:p>
    <w:p>
      <w:pPr>
        <w:spacing w:after="120" w:before="280"/>
      </w:pPr>
      <w:r>
        <w:rPr>
          <w:b/>
          <w:bCs/>
          <w:color w:val="1F5F5B"/>
          <w:sz w:val="26"/>
          <w:szCs w:val="26"/>
        </w:rPr>
        <w:t xml:space="preserve">The Weekly Arc</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00"/>
        <w:gridCol w:w="6572"/>
      </w:tblGrid>
      <w:tr>
        <w:tc>
          <w:tcPr>
            <w:tcW w:type="dxa" w:w="2500"/>
            <w:tcBorders>
              <w:top w:val="single" w:color="DDD8CD" w:sz="4"/>
              <w:left w:val="single" w:color="DDD8CD" w:sz="4"/>
              <w:bottom w:val="single" w:color="DDD8CD" w:sz="4"/>
              <w:right w:val="single" w:color="DDD8CD" w:sz="4"/>
            </w:tcBorders>
            <w:shd w:fill="EFECE5" w:val="clear"/>
            <w:tcMar>
              <w:top w:type="dxa" w:w="80"/>
              <w:left w:type="dxa" w:w="120"/>
              <w:bottom w:type="dxa" w:w="80"/>
              <w:right w:type="dxa" w:w="120"/>
            </w:tcMar>
          </w:tcPr>
          <w:p>
            <w:pPr>
              <w:spacing w:after="80" w:before="80"/>
            </w:pPr>
            <w:r>
              <w:rPr>
                <w:b/>
                <w:bCs/>
                <w:color w:val="1C1B19"/>
                <w:sz w:val="20"/>
                <w:szCs w:val="20"/>
              </w:rPr>
              <w:t xml:space="preserve">Week 1: Feel Safe</w:t>
            </w:r>
          </w:p>
        </w:tc>
        <w:tc>
          <w:tcPr>
            <w:tcW w:type="dxa" w:w="6572"/>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Lowest intensity. Chair squats, standing leg raises, gentle stretches. Goal: user completes every day without pain increase. No skipped days.</w:t>
            </w:r>
          </w:p>
        </w:tc>
      </w:tr>
      <w:tr>
        <w:tc>
          <w:tcPr>
            <w:tcW w:type="dxa" w:w="2500"/>
            <w:tcBorders>
              <w:top w:val="single" w:color="DDD8CD" w:sz="4"/>
              <w:left w:val="single" w:color="DDD8CD" w:sz="4"/>
              <w:bottom w:val="single" w:color="DDD8CD" w:sz="4"/>
              <w:right w:val="single" w:color="DDD8CD" w:sz="4"/>
            </w:tcBorders>
            <w:shd w:fill="EFECE5" w:val="clear"/>
            <w:tcMar>
              <w:top w:type="dxa" w:w="80"/>
              <w:left w:type="dxa" w:w="120"/>
              <w:bottom w:type="dxa" w:w="80"/>
              <w:right w:type="dxa" w:w="120"/>
            </w:tcMar>
          </w:tcPr>
          <w:p>
            <w:pPr>
              <w:spacing w:after="80" w:before="80"/>
            </w:pPr>
            <w:r>
              <w:rPr>
                <w:b/>
                <w:bCs/>
                <w:color w:val="1C1B19"/>
                <w:sz w:val="20"/>
                <w:szCs w:val="20"/>
              </w:rPr>
              <w:t xml:space="preserve">Week 2: Build Strength</w:t>
            </w:r>
          </w:p>
        </w:tc>
        <w:tc>
          <w:tcPr>
            <w:tcW w:type="dxa" w:w="6572"/>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Introduces glute bridges and wall pushups. Slightly higher rep count. Micro-education clip explains why strength reduces pain.</w:t>
            </w:r>
          </w:p>
        </w:tc>
      </w:tr>
      <w:tr>
        <w:tc>
          <w:tcPr>
            <w:tcW w:type="dxa" w:w="2500"/>
            <w:tcBorders>
              <w:top w:val="single" w:color="DDD8CD" w:sz="4"/>
              <w:left w:val="single" w:color="DDD8CD" w:sz="4"/>
              <w:bottom w:val="single" w:color="DDD8CD" w:sz="4"/>
              <w:right w:val="single" w:color="DDD8CD" w:sz="4"/>
            </w:tcBorders>
            <w:shd w:fill="EFECE5" w:val="clear"/>
            <w:tcMar>
              <w:top w:type="dxa" w:w="80"/>
              <w:left w:type="dxa" w:w="120"/>
              <w:bottom w:type="dxa" w:w="80"/>
              <w:right w:type="dxa" w:w="120"/>
            </w:tcMar>
          </w:tcPr>
          <w:p>
            <w:pPr>
              <w:spacing w:after="80" w:before="80"/>
            </w:pPr>
            <w:r>
              <w:rPr>
                <w:b/>
                <w:bCs/>
                <w:color w:val="1C1B19"/>
                <w:sz w:val="20"/>
                <w:szCs w:val="20"/>
              </w:rPr>
              <w:t xml:space="preserve">Week 3: Move Freely</w:t>
            </w:r>
          </w:p>
        </w:tc>
        <w:tc>
          <w:tcPr>
            <w:tcW w:type="dxa" w:w="6572"/>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Adds resistance bands and step-ups. Tempo increases. Daily confidence check-in replaces pain check as primary tracking focus.</w:t>
            </w:r>
          </w:p>
        </w:tc>
      </w:tr>
      <w:tr>
        <w:tc>
          <w:tcPr>
            <w:tcW w:type="dxa" w:w="2500"/>
            <w:tcBorders>
              <w:top w:val="single" w:color="DDD8CD" w:sz="4"/>
              <w:left w:val="single" w:color="DDD8CD" w:sz="4"/>
              <w:bottom w:val="single" w:color="DDD8CD" w:sz="4"/>
              <w:right w:val="single" w:color="DDD8CD" w:sz="4"/>
            </w:tcBorders>
            <w:shd w:fill="EFECE5" w:val="clear"/>
            <w:tcMar>
              <w:top w:type="dxa" w:w="80"/>
              <w:left w:type="dxa" w:w="120"/>
              <w:bottom w:type="dxa" w:w="80"/>
              <w:right w:type="dxa" w:w="120"/>
            </w:tcMar>
          </w:tcPr>
          <w:p>
            <w:pPr>
              <w:spacing w:after="80" w:before="80"/>
            </w:pPr>
            <w:r>
              <w:rPr>
                <w:b/>
                <w:bCs/>
                <w:color w:val="1C1B19"/>
                <w:sz w:val="20"/>
                <w:szCs w:val="20"/>
              </w:rPr>
              <w:t xml:space="preserve">Week 4: Walk Confidently</w:t>
            </w:r>
          </w:p>
        </w:tc>
        <w:tc>
          <w:tcPr>
            <w:tcW w:type="dxa" w:w="6572"/>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Full program intensity. User should be completing sessions without Safe Mode. Pain score comparison to Day 0 shown.</w:t>
            </w:r>
          </w:p>
        </w:tc>
      </w:tr>
    </w:tbl>
    <w:p>
      <w:pPr>
        <w:spacing w:after="80" w:before="80"/>
      </w:pPr>
    </w:p>
    <w:p>
      <w:pPr>
        <w:spacing w:after="120" w:before="280"/>
      </w:pPr>
      <w:r>
        <w:rPr>
          <w:b/>
          <w:bCs/>
          <w:color w:val="1F5F5B"/>
          <w:sz w:val="26"/>
          <w:szCs w:val="26"/>
        </w:rPr>
        <w:t xml:space="preserve">Exercise Selection Rationale</w:t>
      </w:r>
    </w:p>
    <w:p>
      <w:pPr>
        <w:spacing w:after="80" w:before="80"/>
      </w:pPr>
      <w:r>
        <w:rPr>
          <w:color w:val="4A4740"/>
          <w:sz w:val="22"/>
          <w:szCs w:val="22"/>
        </w:rPr>
        <w:t xml:space="preserve">All exercises are home-based, require no equipment, and are drawn from physiotherapy-validated knee strengthening protocols. Selection criteria:</w:t>
      </w:r>
    </w:p>
    <w:p>
      <w:pPr>
        <w:pStyle w:val="ListParagraph"/>
        <w:numPr>
          <w:ilvl w:val="0"/>
          <w:numId w:val="1"/>
        </w:numPr>
        <w:spacing w:after="80" w:before="80"/>
      </w:pPr>
      <w:r>
        <w:rPr>
          <w:color w:val="4A4740"/>
          <w:sz w:val="22"/>
          <w:szCs w:val="22"/>
        </w:rPr>
        <w:t xml:space="preserve">Can be done in a small space (bedroom or living room)</w:t>
      </w:r>
    </w:p>
    <w:p>
      <w:pPr>
        <w:pStyle w:val="ListParagraph"/>
        <w:numPr>
          <w:ilvl w:val="0"/>
          <w:numId w:val="1"/>
        </w:numPr>
        <w:spacing w:after="80" w:before="80"/>
      </w:pPr>
      <w:r>
        <w:rPr>
          <w:color w:val="4A4740"/>
          <w:sz w:val="22"/>
          <w:szCs w:val="22"/>
        </w:rPr>
        <w:t xml:space="preserve">No floor-to-ground transitions that are difficult for 55+ users</w:t>
      </w:r>
    </w:p>
    <w:p>
      <w:pPr>
        <w:pStyle w:val="ListParagraph"/>
        <w:numPr>
          <w:ilvl w:val="0"/>
          <w:numId w:val="1"/>
        </w:numPr>
        <w:spacing w:after="80" w:before="80"/>
      </w:pPr>
      <w:r>
        <w:rPr>
          <w:color w:val="4A4740"/>
          <w:sz w:val="22"/>
          <w:szCs w:val="22"/>
        </w:rPr>
        <w:t xml:space="preserve">Progressive overload achievable through rep count and tempo, not equipment weight</w:t>
      </w:r>
    </w:p>
    <w:p>
      <w:pPr>
        <w:pStyle w:val="ListParagraph"/>
        <w:numPr>
          <w:ilvl w:val="0"/>
          <w:numId w:val="1"/>
        </w:numPr>
        <w:spacing w:after="80" w:before="80"/>
      </w:pPr>
      <w:r>
        <w:rPr>
          <w:color w:val="4A4740"/>
          <w:sz w:val="22"/>
          <w:szCs w:val="22"/>
        </w:rPr>
        <w:t xml:space="preserve">Each exercise has a Hindi name alongside the English name</w:t>
      </w:r>
    </w:p>
    <w:p>
      <w:pPr>
        <w:pBdr>
          <w:bottom w:val="single" w:color="DDD8CD" w:sz="6"/>
        </w:pBdr>
        <w:spacing w:after="240" w:before="240"/>
      </w:pPr>
    </w:p>
    <w:p>
      <w:pPr>
        <w:spacing w:after="160" w:before="400"/>
      </w:pPr>
      <w:r>
        <w:rPr>
          <w:b/>
          <w:bCs/>
          <w:color w:val="1C1B19"/>
          <w:sz w:val="32"/>
          <w:szCs w:val="32"/>
        </w:rPr>
        <w:t xml:space="preserve">6. Visual Design Decisions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00"/>
        <w:gridCol w:w="6572"/>
      </w:tblGrid>
      <w:tr>
        <w:tc>
          <w:tcPr>
            <w:tcW w:type="dxa" w:w="2500"/>
            <w:tcBorders>
              <w:top w:val="single" w:color="DDD8CD" w:sz="4"/>
              <w:left w:val="single" w:color="DDD8CD" w:sz="4"/>
              <w:bottom w:val="single" w:color="DDD8CD" w:sz="4"/>
              <w:right w:val="single" w:color="DDD8CD" w:sz="4"/>
            </w:tcBorders>
            <w:shd w:fill="EFECE5" w:val="clear"/>
            <w:tcMar>
              <w:top w:type="dxa" w:w="80"/>
              <w:left w:type="dxa" w:w="120"/>
              <w:bottom w:type="dxa" w:w="80"/>
              <w:right w:type="dxa" w:w="120"/>
            </w:tcMar>
          </w:tcPr>
          <w:p>
            <w:pPr>
              <w:spacing w:after="80" w:before="80"/>
            </w:pPr>
            <w:r>
              <w:rPr>
                <w:b/>
                <w:bCs/>
                <w:color w:val="1C1B19"/>
                <w:sz w:val="20"/>
                <w:szCs w:val="20"/>
              </w:rPr>
              <w:t xml:space="preserve">Color palette</w:t>
            </w:r>
          </w:p>
        </w:tc>
        <w:tc>
          <w:tcPr>
            <w:tcW w:type="dxa" w:w="6572"/>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Warm greens and off-whites. No clinical whites or aggressive primary colors. The palette signals calm, nature, and safety  to  not performance or competition.</w:t>
            </w:r>
          </w:p>
        </w:tc>
      </w:tr>
      <w:tr>
        <w:tc>
          <w:tcPr>
            <w:tcW w:type="dxa" w:w="2500"/>
            <w:tcBorders>
              <w:top w:val="single" w:color="DDD8CD" w:sz="4"/>
              <w:left w:val="single" w:color="DDD8CD" w:sz="4"/>
              <w:bottom w:val="single" w:color="DDD8CD" w:sz="4"/>
              <w:right w:val="single" w:color="DDD8CD" w:sz="4"/>
            </w:tcBorders>
            <w:shd w:fill="EFECE5" w:val="clear"/>
            <w:tcMar>
              <w:top w:type="dxa" w:w="80"/>
              <w:left w:type="dxa" w:w="120"/>
              <w:bottom w:type="dxa" w:w="80"/>
              <w:right w:type="dxa" w:w="120"/>
            </w:tcMar>
          </w:tcPr>
          <w:p>
            <w:pPr>
              <w:spacing w:after="80" w:before="80"/>
            </w:pPr>
            <w:r>
              <w:rPr>
                <w:b/>
                <w:bCs/>
                <w:color w:val="1C1B19"/>
                <w:sz w:val="20"/>
                <w:szCs w:val="20"/>
              </w:rPr>
              <w:t xml:space="preserve">Typography</w:t>
            </w:r>
          </w:p>
        </w:tc>
        <w:tc>
          <w:tcPr>
            <w:tcW w:type="dxa" w:w="6572"/>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Large, high-contrast text throughout. Primary user segment includes presbyopia. Minimum body text size 16px.</w:t>
            </w:r>
          </w:p>
        </w:tc>
      </w:tr>
      <w:tr>
        <w:tc>
          <w:tcPr>
            <w:tcW w:type="dxa" w:w="2500"/>
            <w:tcBorders>
              <w:top w:val="single" w:color="DDD8CD" w:sz="4"/>
              <w:left w:val="single" w:color="DDD8CD" w:sz="4"/>
              <w:bottom w:val="single" w:color="DDD8CD" w:sz="4"/>
              <w:right w:val="single" w:color="DDD8CD" w:sz="4"/>
            </w:tcBorders>
            <w:shd w:fill="EFECE5" w:val="clear"/>
            <w:tcMar>
              <w:top w:type="dxa" w:w="80"/>
              <w:left w:type="dxa" w:w="120"/>
              <w:bottom w:type="dxa" w:w="80"/>
              <w:right w:type="dxa" w:w="120"/>
            </w:tcMar>
          </w:tcPr>
          <w:p>
            <w:pPr>
              <w:spacing w:after="80" w:before="80"/>
            </w:pPr>
            <w:r>
              <w:rPr>
                <w:b/>
                <w:bCs/>
                <w:color w:val="1C1B19"/>
                <w:sz w:val="20"/>
                <w:szCs w:val="20"/>
              </w:rPr>
              <w:t xml:space="preserve">Iconography</w:t>
            </w:r>
          </w:p>
        </w:tc>
        <w:tc>
          <w:tcPr>
            <w:tcW w:type="dxa" w:w="6572"/>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Heart icon as the primary brand mark. Signals care, not competition.</w:t>
            </w:r>
          </w:p>
        </w:tc>
      </w:tr>
      <w:tr>
        <w:tc>
          <w:tcPr>
            <w:tcW w:type="dxa" w:w="2500"/>
            <w:tcBorders>
              <w:top w:val="single" w:color="DDD8CD" w:sz="4"/>
              <w:left w:val="single" w:color="DDD8CD" w:sz="4"/>
              <w:bottom w:val="single" w:color="DDD8CD" w:sz="4"/>
              <w:right w:val="single" w:color="DDD8CD" w:sz="4"/>
            </w:tcBorders>
            <w:shd w:fill="EFECE5" w:val="clear"/>
            <w:tcMar>
              <w:top w:type="dxa" w:w="80"/>
              <w:left w:type="dxa" w:w="120"/>
              <w:bottom w:type="dxa" w:w="80"/>
              <w:right w:type="dxa" w:w="120"/>
            </w:tcMar>
          </w:tcPr>
          <w:p>
            <w:pPr>
              <w:spacing w:after="80" w:before="80"/>
            </w:pPr>
            <w:r>
              <w:rPr>
                <w:b/>
                <w:bCs/>
                <w:color w:val="1C1B19"/>
                <w:sz w:val="20"/>
                <w:szCs w:val="20"/>
              </w:rPr>
              <w:t xml:space="preserve">Imagery direction</w:t>
            </w:r>
          </w:p>
        </w:tc>
        <w:tc>
          <w:tcPr>
            <w:tcW w:type="dxa" w:w="6572"/>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No aspirational gym imagery. No thin bodies. No before/after framing. Visual language shows women of the right age doing gentle movement at home.</w:t>
            </w:r>
          </w:p>
        </w:tc>
      </w:tr>
      <w:tr>
        <w:tc>
          <w:tcPr>
            <w:tcW w:type="dxa" w:w="2500"/>
            <w:tcBorders>
              <w:top w:val="single" w:color="DDD8CD" w:sz="4"/>
              <w:left w:val="single" w:color="DDD8CD" w:sz="4"/>
              <w:bottom w:val="single" w:color="DDD8CD" w:sz="4"/>
              <w:right w:val="single" w:color="DDD8CD" w:sz="4"/>
            </w:tcBorders>
            <w:shd w:fill="EFECE5" w:val="clear"/>
            <w:tcMar>
              <w:top w:type="dxa" w:w="80"/>
              <w:left w:type="dxa" w:w="120"/>
              <w:bottom w:type="dxa" w:w="80"/>
              <w:right w:type="dxa" w:w="120"/>
            </w:tcMar>
          </w:tcPr>
          <w:p>
            <w:pPr>
              <w:spacing w:after="80" w:before="80"/>
            </w:pPr>
            <w:r>
              <w:rPr>
                <w:b/>
                <w:bCs/>
                <w:color w:val="1C1B19"/>
                <w:sz w:val="20"/>
                <w:szCs w:val="20"/>
              </w:rPr>
              <w:t xml:space="preserve">Button design</w:t>
            </w:r>
          </w:p>
        </w:tc>
        <w:tc>
          <w:tcPr>
            <w:tcW w:type="dxa" w:w="6572"/>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Large tap targets throughout. Minimum 48px touch area. User segment includes lower mobile dexterity.</w:t>
            </w:r>
          </w:p>
        </w:tc>
      </w:tr>
      <w:tr>
        <w:tc>
          <w:tcPr>
            <w:tcW w:type="dxa" w:w="2500"/>
            <w:tcBorders>
              <w:top w:val="single" w:color="DDD8CD" w:sz="4"/>
              <w:left w:val="single" w:color="DDD8CD" w:sz="4"/>
              <w:bottom w:val="single" w:color="DDD8CD" w:sz="4"/>
              <w:right w:val="single" w:color="DDD8CD" w:sz="4"/>
            </w:tcBorders>
            <w:shd w:fill="EFECE5" w:val="clear"/>
            <w:tcMar>
              <w:top w:type="dxa" w:w="80"/>
              <w:left w:type="dxa" w:w="120"/>
              <w:bottom w:type="dxa" w:w="80"/>
              <w:right w:type="dxa" w:w="120"/>
            </w:tcMar>
          </w:tcPr>
          <w:p>
            <w:pPr>
              <w:spacing w:after="80" w:before="80"/>
            </w:pPr>
            <w:r>
              <w:rPr>
                <w:b/>
                <w:bCs/>
                <w:color w:val="1C1B19"/>
                <w:sz w:val="20"/>
                <w:szCs w:val="20"/>
              </w:rPr>
              <w:t xml:space="preserve">Language toggle placement</w:t>
            </w:r>
          </w:p>
        </w:tc>
        <w:tc>
          <w:tcPr>
            <w:tcW w:type="dxa" w:w="6572"/>
            <w:tcBorders>
              <w:top w:val="single" w:color="DDD8CD" w:sz="4"/>
              <w:left w:val="single" w:color="DDD8CD" w:sz="4"/>
              <w:bottom w:val="single" w:color="DDD8CD" w:sz="4"/>
              <w:right w:val="single" w:color="DDD8CD" w:sz="4"/>
            </w:tcBorders>
            <w:shd w:fill="FFFFFF" w:val="clear"/>
            <w:tcMar>
              <w:top w:type="dxa" w:w="80"/>
              <w:left w:type="dxa" w:w="120"/>
              <w:bottom w:type="dxa" w:w="80"/>
              <w:right w:type="dxa" w:w="120"/>
            </w:tcMar>
          </w:tcPr>
          <w:p>
            <w:pPr>
              <w:spacing w:after="80" w:before="80"/>
            </w:pPr>
            <w:r>
              <w:rPr>
                <w:color w:val="4A4740"/>
                <w:sz w:val="20"/>
                <w:szCs w:val="20"/>
              </w:rPr>
              <w:t xml:space="preserve">Top-right corner, persistent. Never buried in settings.</w:t>
            </w:r>
          </w:p>
        </w:tc>
      </w:tr>
    </w:tbl>
    <w:p>
      <w:pPr>
        <w:pBdr>
          <w:bottom w:val="single" w:color="DDD8CD" w:sz="6"/>
        </w:pBdr>
        <w:spacing w:after="240" w:before="240"/>
      </w:pPr>
    </w:p>
    <w:p>
      <w:pPr>
        <w:spacing w:after="160" w:before="400"/>
      </w:pPr>
      <w:r>
        <w:rPr>
          <w:b/>
          <w:bCs/>
          <w:color w:val="1C1B19"/>
          <w:sz w:val="32"/>
          <w:szCs w:val="32"/>
        </w:rPr>
        <w:t xml:space="preserve">7. Content Ownership Decision</w:t>
      </w:r>
    </w:p>
    <w:p>
      <w:pPr>
        <w:spacing w:after="80" w:before="80"/>
      </w:pPr>
      <w:r>
        <w:rPr>
          <w:color w:val="4A4740"/>
          <w:sz w:val="22"/>
          <w:szCs w:val="22"/>
        </w:rPr>
        <w:t xml:space="preserve">All exercise scripts, micro-education clips, and Hindi copy are original content owned by Move Mitra. No YouTube content is redistributed, translated, or reanimate. This decision was made deliberately after identifying IP risk in early content planning:</w:t>
      </w:r>
    </w:p>
    <w:p>
      <w:pPr>
        <w:pStyle w:val="ListParagraph"/>
        <w:numPr>
          <w:ilvl w:val="0"/>
          <w:numId w:val="1"/>
        </w:numPr>
        <w:spacing w:after="80" w:before="80"/>
      </w:pPr>
      <w:r>
        <w:rPr>
          <w:color w:val="4A4740"/>
          <w:sz w:val="22"/>
          <w:szCs w:val="22"/>
        </w:rPr>
        <w:t xml:space="preserve">Recreating YouTube workouts frame-by-frame is a copyright violation regardless of language</w:t>
      </w:r>
    </w:p>
    <w:p>
      <w:pPr>
        <w:pStyle w:val="ListParagraph"/>
        <w:numPr>
          <w:ilvl w:val="0"/>
          <w:numId w:val="1"/>
        </w:numPr>
        <w:spacing w:after="80" w:before="80"/>
      </w:pPr>
      <w:r>
        <w:rPr>
          <w:color w:val="4A4740"/>
          <w:sz w:val="22"/>
          <w:szCs w:val="22"/>
        </w:rPr>
        <w:t xml:space="preserve">Redistributing translated exercise sequences without license is not legally defensible</w:t>
      </w:r>
    </w:p>
    <w:p>
      <w:pPr>
        <w:pStyle w:val="ListParagraph"/>
        <w:numPr>
          <w:ilvl w:val="0"/>
          <w:numId w:val="1"/>
        </w:numPr>
        <w:spacing w:after="80" w:before="80"/>
      </w:pPr>
      <w:r>
        <w:rPr>
          <w:color w:val="4A4740"/>
          <w:sz w:val="22"/>
          <w:szCs w:val="22"/>
        </w:rPr>
        <w:t xml:space="preserve">Original content protects the product's IP and allows monetization without clearance dependency</w:t>
      </w:r>
    </w:p>
    <w:p>
      <w:pPr>
        <w:spacing w:after="80" w:before="80"/>
      </w:pPr>
    </w:p>
    <w:p>
      <w:pPr>
        <w:spacing w:after="80" w:before="80"/>
      </w:pPr>
      <w:r>
        <w:rPr>
          <w:color w:val="4A4740"/>
          <w:sz w:val="22"/>
          <w:szCs w:val="22"/>
        </w:rPr>
        <w:t xml:space="preserve">Exercise scripts are physiotherapist-reviewed. Video content will be original recordings or original AI-generated animations in Phase 2.</w:t>
      </w:r>
    </w:p>
    <w:p>
      <w:pPr>
        <w:pBdr>
          <w:bottom w:val="single" w:color="DDD8CD" w:sz="6"/>
        </w:pBdr>
        <w:spacing w:after="240" w:before="240"/>
      </w:pPr>
    </w:p>
    <w:p>
      <w:pPr>
        <w:spacing w:after="160" w:before="400"/>
      </w:pPr>
      <w:r>
        <w:rPr>
          <w:b/>
          <w:bCs/>
          <w:color w:val="1C1B19"/>
          <w:sz w:val="32"/>
          <w:szCs w:val="32"/>
        </w:rPr>
        <w:t xml:space="preserve">8. What the Design Does Not Do</w:t>
      </w:r>
    </w:p>
    <w:p>
      <w:pPr>
        <w:spacing w:after="80" w:before="80"/>
      </w:pPr>
      <w:r>
        <w:rPr>
          <w:color w:val="4A4740"/>
          <w:sz w:val="22"/>
          <w:szCs w:val="22"/>
        </w:rPr>
        <w:t xml:space="preserve">Scope discipline was as important as what was built. The following were explicitly excluded from the MVP design and will be revisited post-validation:</w:t>
      </w:r>
    </w:p>
    <w:p>
      <w:pPr>
        <w:pStyle w:val="ListParagraph"/>
        <w:numPr>
          <w:ilvl w:val="0"/>
          <w:numId w:val="1"/>
        </w:numPr>
        <w:spacing w:after="80" w:before="80"/>
      </w:pPr>
      <w:r>
        <w:rPr>
          <w:color w:val="4A4740"/>
          <w:sz w:val="22"/>
          <w:szCs w:val="22"/>
        </w:rPr>
        <w:t xml:space="preserve">Community feed  to  adds social pressure, which increases anxiety for this segment</w:t>
      </w:r>
    </w:p>
    <w:p>
      <w:pPr>
        <w:pStyle w:val="ListParagraph"/>
        <w:numPr>
          <w:ilvl w:val="0"/>
          <w:numId w:val="1"/>
        </w:numPr>
        <w:spacing w:after="80" w:before="80"/>
      </w:pPr>
      <w:r>
        <w:rPr>
          <w:color w:val="4A4740"/>
          <w:sz w:val="22"/>
          <w:szCs w:val="22"/>
        </w:rPr>
        <w:t xml:space="preserve">Camera-based posture correction  to  requires trust the user has not yet built with the product</w:t>
      </w:r>
    </w:p>
    <w:p>
      <w:pPr>
        <w:pStyle w:val="ListParagraph"/>
        <w:numPr>
          <w:ilvl w:val="0"/>
          <w:numId w:val="1"/>
        </w:numPr>
        <w:spacing w:after="80" w:before="80"/>
      </w:pPr>
      <w:r>
        <w:rPr>
          <w:color w:val="4A4740"/>
          <w:sz w:val="22"/>
          <w:szCs w:val="22"/>
        </w:rPr>
        <w:t xml:space="preserve">AI workout engine  to  over-engineering before the basic 30-day arc is validated</w:t>
      </w:r>
    </w:p>
    <w:p>
      <w:pPr>
        <w:pStyle w:val="ListParagraph"/>
        <w:numPr>
          <w:ilvl w:val="0"/>
          <w:numId w:val="1"/>
        </w:numPr>
        <w:spacing w:after="80" w:before="80"/>
      </w:pPr>
      <w:r>
        <w:rPr>
          <w:color w:val="4A4740"/>
          <w:sz w:val="22"/>
          <w:szCs w:val="22"/>
        </w:rPr>
        <w:t xml:space="preserve">Leaderboards or streaks  to  performance framing is the wrong emotional register for this user</w:t>
      </w:r>
    </w:p>
    <w:p>
      <w:pPr>
        <w:pStyle w:val="ListParagraph"/>
        <w:numPr>
          <w:ilvl w:val="0"/>
          <w:numId w:val="1"/>
        </w:numPr>
        <w:spacing w:after="80" w:before="80"/>
      </w:pPr>
      <w:r>
        <w:rPr>
          <w:color w:val="4A4740"/>
          <w:sz w:val="22"/>
          <w:szCs w:val="22"/>
        </w:rPr>
        <w:t xml:space="preserve">Gym equipment recognition  to  irrelevant to the home-based positioning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2026-09-24T05:09:02.630Z</dcterms:created>
  <dcterms:modified xsi:type="dcterms:W3CDTF">2026-09-24T05:09:02.630Z</dcterms:modified>
</cp:coreProperties>
</file>

<file path=docProps/custom.xml><?xml version="1.0" encoding="utf-8"?>
<Properties xmlns="http://schemas.openxmlformats.org/officeDocument/2006/custom-properties" xmlns:vt="http://schemas.openxmlformats.org/officeDocument/2006/docPropsVTypes"/>
</file>