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Poppins" w:hAnsi="Poppins"/>
          <w:b/>
          <w:color w:val="0284C7"/>
          <w:sz w:val="48"/>
        </w:rPr>
        <w:t>SOFTWARE REQUIREMENTS SPECIFICATION (SRS)</w:t>
        <w:br/>
        <w:br/>
        <w:t>Project: AURA</w:t>
        <w:br/>
      </w:r>
    </w:p>
    <w:p>
      <w:pPr>
        <w:jc w:val="center"/>
      </w:pPr>
      <w:r>
        <w:rPr>
          <w:rFonts w:ascii="Inter" w:hAnsi="Inter"/>
          <w:color w:val="64748B"/>
          <w:sz w:val="24"/>
        </w:rPr>
        <w:t>Target: Smart India Hackathon (SIH) Evaluation</w:t>
        <w:br/>
        <w:t>Conforming to IEEE Std 830-1998</w:t>
        <w:br/>
        <w:br/>
      </w:r>
    </w:p>
    <w:tbl>
      <w:tblPr>
        <w:tblStyle w:val="LightShading-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Roll Number</w:t>
            </w:r>
          </w:p>
        </w:tc>
      </w:tr>
      <w:tr>
        <w:tc>
          <w:tcPr>
            <w:tcW w:type="dxa" w:w="4320"/>
          </w:tcPr>
          <w:p>
            <w:r>
              <w:t>S. Pallavi</w:t>
            </w:r>
          </w:p>
        </w:tc>
        <w:tc>
          <w:tcPr>
            <w:tcW w:type="dxa" w:w="4320"/>
          </w:tcPr>
          <w:p>
            <w:r>
              <w:t>241801370052</w:t>
            </w:r>
          </w:p>
        </w:tc>
      </w:tr>
      <w:tr>
        <w:tc>
          <w:tcPr>
            <w:tcW w:type="dxa" w:w="4320"/>
          </w:tcPr>
          <w:p>
            <w:r>
              <w:t>B. Anusha</w:t>
            </w:r>
          </w:p>
        </w:tc>
        <w:tc>
          <w:tcPr>
            <w:tcW w:type="dxa" w:w="4320"/>
          </w:tcPr>
          <w:p>
            <w:r>
              <w:t>241801370055</w:t>
            </w:r>
          </w:p>
        </w:tc>
      </w:tr>
      <w:tr>
        <w:tc>
          <w:tcPr>
            <w:tcW w:type="dxa" w:w="4320"/>
          </w:tcPr>
          <w:p>
            <w:r>
              <w:t>Y. Niharika</w:t>
            </w:r>
          </w:p>
        </w:tc>
        <w:tc>
          <w:tcPr>
            <w:tcW w:type="dxa" w:w="4320"/>
          </w:tcPr>
          <w:p>
            <w:r>
              <w:t>241801370009</w:t>
            </w:r>
          </w:p>
        </w:tc>
      </w:tr>
      <w:tr>
        <w:tc>
          <w:tcPr>
            <w:tcW w:type="dxa" w:w="4320"/>
          </w:tcPr>
          <w:p>
            <w:r>
              <w:t>G. Parwathi</w:t>
            </w:r>
          </w:p>
        </w:tc>
        <w:tc>
          <w:tcPr>
            <w:tcW w:type="dxa" w:w="4320"/>
          </w:tcPr>
          <w:p>
            <w:r>
              <w:t>241801370061</w:t>
            </w:r>
          </w:p>
        </w:tc>
      </w:tr>
    </w:tbl>
    <w:p>
      <w:r>
        <w:br w:type="page"/>
      </w:r>
    </w:p>
    <w:p>
      <w:pPr>
        <w:pStyle w:val="Heading1"/>
        <w:spacing w:before="240" w:after="120"/>
      </w:pPr>
      <w:r>
        <w:rPr>
          <w:rFonts w:ascii="Poppins" w:hAnsi="Poppins"/>
          <w:b/>
          <w:color w:val="0284C7"/>
          <w:sz w:val="36"/>
        </w:rPr>
        <w:t>1. Introduction</w:t>
      </w:r>
    </w:p>
    <w:p>
      <w:pPr>
        <w:spacing w:line="276" w:lineRule="auto" w:after="120"/>
      </w:pPr>
      <w:r>
        <w:rPr>
          <w:rFonts w:ascii="Inter" w:hAnsi="Inter"/>
          <w:sz w:val="21"/>
        </w:rPr>
        <w:t>1.1 Purpose</w:t>
        <w:br/>
        <w:t>This Software Requirements Specification (SRS) document details the functional and non-functional requirements for the AURA Offline AI-Driven Public Health Platform. It is designed to provide a clear, judge-friendly overview of the system's specifications for the Smart India Hackathon evaluation.</w:t>
      </w:r>
    </w:p>
    <w:p>
      <w:pPr>
        <w:spacing w:line="276" w:lineRule="auto" w:after="120"/>
      </w:pPr>
      <w:r>
        <w:rPr>
          <w:rFonts w:ascii="Inter" w:hAnsi="Inter"/>
          <w:sz w:val="21"/>
        </w:rPr>
        <w:t>1.2 Scope</w:t>
        <w:br/>
        <w:t>AURA is a fully offline clinical decision support system. It maps textual symptom descriptions into disease probability classifications and analyzes skin photograph metrics. All calculations and operations are processed on the local CPU without external API calls or database services.</w:t>
      </w:r>
    </w:p>
    <w:p>
      <w:pPr>
        <w:spacing w:line="276" w:lineRule="auto" w:after="120"/>
      </w:pPr>
      <w:r>
        <w:rPr>
          <w:rFonts w:ascii="Inter" w:hAnsi="Inter"/>
          <w:sz w:val="21"/>
        </w:rPr>
        <w:t>1.3 Project Overview</w:t>
        <w:br/>
        <w:t>The platform contains an offline multilingual symptom chatbot, a visual skin scanner processing RGB, HSV, and texture parameters, a native voice interface matching navigations and forms, a client-side database scheduling medications/vitals logs, and an audio oscillator siren triggering warnings during critical physiological entries.</w:t>
      </w:r>
    </w:p>
    <w:p>
      <w:pPr>
        <w:spacing w:line="276" w:lineRule="auto" w:after="120"/>
      </w:pPr>
      <w:r>
        <w:rPr>
          <w:rFonts w:ascii="Inter" w:hAnsi="Inter"/>
          <w:sz w:val="21"/>
        </w:rPr>
        <w:t>1.4 Definitions, Acronyms, and Abbreviations</w:t>
        <w:br/>
        <w:t>- SRS: Software Requirements Specification</w:t>
        <w:br/>
        <w:t>- SDD: Software Design Document</w:t>
        <w:br/>
        <w:t>- SPA: Single Page Application</w:t>
        <w:br/>
        <w:t>- ML: Machine Learning</w:t>
        <w:br/>
        <w:t>- NLP: Natural Language Processing</w:t>
        <w:br/>
        <w:t>- TTS: Text-to-Speech</w:t>
        <w:br/>
        <w:t>- XAI: Explainable AI</w:t>
        <w:br/>
        <w:t>- SpO2: Oxygen Saturation</w:t>
        <w:br/>
        <w:t>- CRUD: Create, Read, Update, Delete (Medications scheduler)</w:t>
      </w:r>
    </w:p>
    <w:p>
      <w:pPr>
        <w:pStyle w:val="Heading1"/>
        <w:spacing w:before="240" w:after="120"/>
      </w:pPr>
      <w:r>
        <w:rPr>
          <w:rFonts w:ascii="Poppins" w:hAnsi="Poppins"/>
          <w:b/>
          <w:color w:val="0284C7"/>
          <w:sz w:val="36"/>
        </w:rPr>
        <w:t>2. Overall Description</w:t>
      </w:r>
    </w:p>
    <w:p>
      <w:pPr>
        <w:spacing w:line="276" w:lineRule="auto" w:after="120"/>
      </w:pPr>
      <w:r>
        <w:rPr>
          <w:rFonts w:ascii="Inter" w:hAnsi="Inter"/>
          <w:sz w:val="21"/>
        </w:rPr>
        <w:t>2.1 Product Perspective</w:t>
        <w:br/>
        <w:t>AURA runs locally as a standalone web application. It combines a lightweight Flask python backend micro-service with a native HTML5/CSS3/JavaScript frontend client, storing all transactional states inside the client's web browser storage.</w:t>
      </w:r>
    </w:p>
    <w:p>
      <w:pPr>
        <w:spacing w:line="276" w:lineRule="auto" w:after="120"/>
      </w:pPr>
      <w:r>
        <w:rPr>
          <w:rFonts w:ascii="Inter" w:hAnsi="Inter"/>
          <w:sz w:val="21"/>
        </w:rPr>
        <w:t>2.2 Operating Environment</w:t>
        <w:br/>
        <w:t>- Server: Python 3.10+ environment, Flask 2.2+.</w:t>
        <w:br/>
        <w:t>- Client: Any modern web browser conforming to W3C standards (WAV Audio, SpeechRecognition, LocalStorage).</w:t>
      </w:r>
    </w:p>
    <w:p>
      <w:pPr>
        <w:spacing w:line="276" w:lineRule="auto" w:after="120"/>
      </w:pPr>
      <w:r>
        <w:rPr>
          <w:rFonts w:ascii="Inter" w:hAnsi="Inter"/>
          <w:sz w:val="21"/>
        </w:rPr>
        <w:t>2.3 Design/Implementation Constraints</w:t>
        <w:br/>
        <w:t>- Must execute entirely without internet access.</w:t>
        <w:br/>
        <w:t>- Database actions must resolve via Web LocalStorage.</w:t>
        <w:br/>
        <w:t>- Must not depend on external model hosting APIs.</w:t>
      </w:r>
    </w:p>
    <w:p>
      <w:pPr>
        <w:spacing w:line="276" w:lineRule="auto" w:after="120"/>
      </w:pPr>
      <w:r>
        <w:rPr>
          <w:rFonts w:ascii="Inter" w:hAnsi="Inter"/>
          <w:sz w:val="21"/>
        </w:rPr>
        <w:t>2.4 Assumptions &amp; Dependencies</w:t>
        <w:br/>
        <w:t>- Assumption: The hosting machine has a working sound card, speaker, and microphone hardware.</w:t>
        <w:br/>
        <w:t>- Dependency: The web browser must support the native webkitSpeechRecognition engine for voice triggers.</w:t>
      </w:r>
    </w:p>
    <w:p>
      <w:pPr>
        <w:pStyle w:val="Heading1"/>
        <w:spacing w:before="240" w:after="120"/>
      </w:pPr>
      <w:r>
        <w:rPr>
          <w:rFonts w:ascii="Poppins" w:hAnsi="Poppins"/>
          <w:b/>
          <w:color w:val="0284C7"/>
          <w:sz w:val="36"/>
        </w:rPr>
        <w:t>3. Functional Requirements</w:t>
      </w:r>
    </w:p>
    <w:p>
      <w:pPr>
        <w:pStyle w:val="Heading2"/>
        <w:spacing w:before="240" w:after="120"/>
      </w:pPr>
      <w:r>
        <w:rPr>
          <w:rFonts w:ascii="Poppins" w:hAnsi="Poppins"/>
          <w:b/>
          <w:color w:val="0F172A"/>
          <w:sz w:val="28"/>
        </w:rPr>
        <w:t>3.1 Multilingual Symptom Checker</w:t>
      </w:r>
    </w:p>
    <w:p>
      <w:pPr>
        <w:spacing w:line="276" w:lineRule="auto" w:after="120"/>
      </w:pPr>
      <w:r>
        <w:rPr>
          <w:rFonts w:ascii="Inter" w:hAnsi="Inter"/>
          <w:sz w:val="21"/>
        </w:rPr>
        <w:t>- SRS-FN-01: The system shall match symptom strings in English, Hindi, Telugu, Tamil, Bengali, Odia, Urdu, Malayalam, and Korean.</w:t>
        <w:br/>
        <w:t>- SRS-FN-02: The system shall vectorise text into a 24-dimensional binary array representing target symptoms.</w:t>
        <w:br/>
        <w:t>- SRS-FN-03: The system shall process symptom vectors using a local Random Forest model to calculate disease probabilities.</w:t>
        <w:br/>
        <w:t>- SRS-FN-04: The system shall display differential diagnostic confidence percentages and XAI feature weights lists.</w:t>
      </w:r>
    </w:p>
    <w:p>
      <w:pPr>
        <w:pStyle w:val="Heading2"/>
        <w:spacing w:before="240" w:after="120"/>
      </w:pPr>
      <w:r>
        <w:rPr>
          <w:rFonts w:ascii="Poppins" w:hAnsi="Poppins"/>
          <w:b/>
          <w:color w:val="0F172A"/>
          <w:sz w:val="28"/>
        </w:rPr>
        <w:t>3.2 Visual Skin Scanner</w:t>
      </w:r>
    </w:p>
    <w:p>
      <w:pPr>
        <w:spacing w:line="276" w:lineRule="auto" w:after="120"/>
      </w:pPr>
      <w:r>
        <w:rPr>
          <w:rFonts w:ascii="Inter" w:hAnsi="Inter"/>
          <w:sz w:val="21"/>
        </w:rPr>
        <w:t>- SRS-FN-05: The system shall allow users to upload or drag-and-drop JPEG and PNG skin photos.</w:t>
        <w:br/>
        <w:t>- SRS-FN-06: The system shall extract 12 color means and standard deviations, plus 2 texture gradient magnitudes.</w:t>
        <w:br/>
        <w:t>- SRS-FN-07: The system shall display visual predictions and care recommendations directly on the Reports tab.</w:t>
      </w:r>
    </w:p>
    <w:p>
      <w:pPr>
        <w:pStyle w:val="Heading2"/>
        <w:spacing w:before="240" w:after="120"/>
      </w:pPr>
      <w:r>
        <w:rPr>
          <w:rFonts w:ascii="Poppins" w:hAnsi="Poppins"/>
          <w:b/>
          <w:color w:val="0F172A"/>
          <w:sz w:val="28"/>
        </w:rPr>
        <w:t>3.3 Medication Scheduler</w:t>
      </w:r>
    </w:p>
    <w:p>
      <w:pPr>
        <w:spacing w:line="276" w:lineRule="auto" w:after="120"/>
      </w:pPr>
      <w:r>
        <w:rPr>
          <w:rFonts w:ascii="Inter" w:hAnsi="Inter"/>
          <w:sz w:val="21"/>
        </w:rPr>
        <w:t>- SRS-FN-08: The system shall allow users to add and delete scheduled medications offline.</w:t>
        <w:br/>
        <w:t>- SRS-FN-09: The system shall check pill schedule times at 45-second intervals.</w:t>
        <w:br/>
        <w:t>- SRS-FN-10: The system shall play spoken voice alarms when the system clock matches a medication's time.</w:t>
      </w:r>
    </w:p>
    <w:p>
      <w:pPr>
        <w:pStyle w:val="Heading2"/>
        <w:spacing w:before="240" w:after="120"/>
      </w:pPr>
      <w:r>
        <w:rPr>
          <w:rFonts w:ascii="Poppins" w:hAnsi="Poppins"/>
          <w:b/>
          <w:color w:val="0F172A"/>
          <w:sz w:val="28"/>
        </w:rPr>
        <w:t>3.4 Patient Vitals &amp; Health Score</w:t>
      </w:r>
    </w:p>
    <w:p>
      <w:pPr>
        <w:spacing w:line="276" w:lineRule="auto" w:after="120"/>
      </w:pPr>
      <w:r>
        <w:rPr>
          <w:rFonts w:ascii="Inter" w:hAnsi="Inter"/>
          <w:sz w:val="21"/>
        </w:rPr>
        <w:t>- SRS-FN-11: The system shall accept body temperature and oxygen (SpO2) vitals logs.</w:t>
        <w:br/>
        <w:t>- SRS-FN-12: The system shall calculate an overall Clinical Safety Score (0-100) based on health limits.</w:t>
        <w:br/>
        <w:t>- SRS-FN-13: The system shall plot vital safety histories onto an HTML5 Canvas trend graph.</w:t>
      </w:r>
    </w:p>
    <w:p>
      <w:pPr>
        <w:pStyle w:val="Heading1"/>
        <w:spacing w:before="240" w:after="120"/>
      </w:pPr>
      <w:r>
        <w:rPr>
          <w:rFonts w:ascii="Poppins" w:hAnsi="Poppins"/>
          <w:b/>
          <w:color w:val="0284C7"/>
          <w:sz w:val="36"/>
        </w:rPr>
        <w:t>4. Non-Functional Requirements</w:t>
      </w:r>
    </w:p>
    <w:p>
      <w:pPr>
        <w:spacing w:line="276" w:lineRule="auto" w:after="120"/>
      </w:pPr>
      <w:r>
        <w:rPr>
          <w:rFonts w:ascii="Inter" w:hAnsi="Inter"/>
          <w:sz w:val="21"/>
        </w:rPr>
        <w:t>4.1 Performance</w:t>
        <w:br/>
        <w:t>- Prediction latency for both text and skin classifiers shall remain below 10 milliseconds.</w:t>
        <w:br/>
        <w:t>- SPA tab transitions and page updates shall execute in under 100 milliseconds.</w:t>
      </w:r>
    </w:p>
    <w:p>
      <w:pPr>
        <w:spacing w:line="276" w:lineRule="auto" w:after="120"/>
      </w:pPr>
      <w:r>
        <w:rPr>
          <w:rFonts w:ascii="Inter" w:hAnsi="Inter"/>
          <w:sz w:val="21"/>
        </w:rPr>
        <w:t>4.2 Security &amp; Data Privacy</w:t>
        <w:br/>
        <w:t>- Zero Data Leakage: No diagnostic data, inputs, or uploaded images shall be transmitted over a network.</w:t>
        <w:br/>
        <w:t>- Storage Isolation: Vitals and pill logs shall remain strictly isolated inside the browser's LocalStorage sandboxed container.</w:t>
      </w:r>
    </w:p>
    <w:p>
      <w:pPr>
        <w:spacing w:line="276" w:lineRule="auto" w:after="120"/>
      </w:pPr>
      <w:r>
        <w:rPr>
          <w:rFonts w:ascii="Inter" w:hAnsi="Inter"/>
          <w:sz w:val="21"/>
        </w:rPr>
        <w:t>4.3 Reliability &amp; Safety</w:t>
        <w:br/>
        <w:t>- Siren Trigger: If logged SpO2 falls below 94% or body temperature rises above 102°F, the system shall sound a continuous audio warning siren.</w:t>
        <w:br/>
        <w:t>- Clinical Disclaimer: The UI shall display prominent warnings stating that the diagnostic predictions are simulation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