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A1CD77">
      <w:pPr>
        <w:spacing w:before="480" w:after="40"/>
      </w:pPr>
      <w:r>
        <w:rPr>
          <w:rFonts w:ascii="Arial" w:hAnsi="Arial" w:eastAsia="Arial" w:cs="Arial"/>
          <w:b/>
          <w:bCs/>
          <w:color w:val="566573"/>
          <w:sz w:val="22"/>
          <w:szCs w:val="22"/>
        </w:rPr>
        <w:t>PROJECT</w:t>
      </w:r>
      <w:r>
        <w:rPr>
          <w:rFonts w:hint="default" w:cs="Arial"/>
          <w:b/>
          <w:bCs/>
          <w:color w:val="566573"/>
          <w:sz w:val="22"/>
          <w:szCs w:val="22"/>
          <w:lang w:val="en-US"/>
        </w:rPr>
        <w:t>_</w:t>
      </w:r>
      <w:r>
        <w:rPr>
          <w:rFonts w:ascii="Arial" w:hAnsi="Arial" w:eastAsia="Arial" w:cs="Arial"/>
          <w:b/>
          <w:bCs/>
          <w:color w:val="566573"/>
          <w:sz w:val="22"/>
          <w:szCs w:val="22"/>
        </w:rPr>
        <w:t>1 MARKET RESEARCH</w:t>
      </w:r>
    </w:p>
    <w:p w14:paraId="2720BC66">
      <w:pPr>
        <w:spacing w:before="0" w:after="80"/>
      </w:pPr>
      <w:r>
        <w:rPr>
          <w:rFonts w:ascii="Arial" w:hAnsi="Arial" w:eastAsia="Arial" w:cs="Arial"/>
          <w:b/>
          <w:bCs/>
          <w:color w:val="1B4F8A"/>
          <w:sz w:val="52"/>
          <w:szCs w:val="52"/>
        </w:rPr>
        <w:t>AI-Powered Predictive Quality Control</w:t>
      </w:r>
    </w:p>
    <w:p w14:paraId="31727F1C">
      <w:pPr>
        <w:spacing w:before="0" w:after="40"/>
      </w:pPr>
      <w:r>
        <w:rPr>
          <w:rFonts w:ascii="Arial" w:hAnsi="Arial" w:eastAsia="Arial" w:cs="Arial"/>
          <w:b/>
          <w:bCs/>
          <w:color w:val="2C3E50"/>
          <w:sz w:val="44"/>
          <w:szCs w:val="44"/>
        </w:rPr>
        <w:t>for Automotive Manufacturing</w:t>
      </w:r>
      <w:bookmarkStart w:id="0" w:name="_GoBack"/>
      <w:bookmarkEnd w:id="0"/>
    </w:p>
    <w:p w14:paraId="04159F51">
      <w:pPr>
        <w:pBdr>
          <w:bottom w:val="single" w:color="CCCCCC" w:sz="2" w:space="1"/>
        </w:pBdr>
        <w:spacing w:before="160" w:after="160"/>
      </w:pPr>
    </w:p>
    <w:tbl>
      <w:tblPr>
        <w:tblStyle w:val="9"/>
        <w:tblW w:w="100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16"/>
        <w:gridCol w:w="2416"/>
        <w:gridCol w:w="2416"/>
        <w:gridCol w:w="2769"/>
      </w:tblGrid>
      <w:tr w14:paraId="7AEDE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380" w:hRule="atLeast"/>
        </w:trPr>
        <w:tc>
          <w:tcPr>
            <w:tcW w:w="2416" w:type="dxa"/>
            <w:tcBorders>
              <w:top w:val="single" w:color="1B4F8A" w:sz="0" w:space="0"/>
              <w:left w:val="single" w:color="1B4F8A" w:sz="0" w:space="0"/>
              <w:bottom w:val="single" w:color="1B4F8A" w:sz="0" w:space="0"/>
              <w:right w:val="single" w:color="1B4F8A" w:sz="0" w:space="0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BCBB01">
            <w:pPr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b/>
                <w:bCs/>
                <w:color w:val="1B4F8A"/>
                <w:sz w:val="40"/>
                <w:szCs w:val="40"/>
              </w:rPr>
              <w:t>2.1–4.4%</w:t>
            </w:r>
          </w:p>
          <w:p w14:paraId="2587271C">
            <w:pPr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2C3E50"/>
                <w:sz w:val="18"/>
                <w:szCs w:val="18"/>
              </w:rPr>
              <w:t>Avg. Defect Rate</w:t>
            </w:r>
          </w:p>
          <w:p w14:paraId="3F2E711A">
            <w:pPr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i/>
                <w:iCs/>
                <w:color w:val="566573"/>
                <w:sz w:val="16"/>
                <w:szCs w:val="16"/>
              </w:rPr>
              <w:t>Automotive parts</w:t>
            </w:r>
          </w:p>
        </w:tc>
        <w:tc>
          <w:tcPr>
            <w:tcW w:w="2416" w:type="dxa"/>
            <w:tcBorders>
              <w:top w:val="single" w:color="1B4F8A" w:sz="0" w:space="0"/>
              <w:left w:val="single" w:color="1B4F8A" w:sz="0" w:space="0"/>
              <w:bottom w:val="single" w:color="1B4F8A" w:sz="0" w:space="0"/>
              <w:right w:val="single" w:color="1B4F8A" w:sz="0" w:space="0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AC28BC">
            <w:pPr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b/>
                <w:bCs/>
                <w:color w:val="1B4F8A"/>
                <w:sz w:val="40"/>
                <w:szCs w:val="40"/>
              </w:rPr>
              <w:t>€2M+</w:t>
            </w:r>
          </w:p>
          <w:p w14:paraId="70A332FA">
            <w:pPr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2C3E50"/>
                <w:sz w:val="18"/>
                <w:szCs w:val="18"/>
              </w:rPr>
              <w:t>Annual Recall Cost</w:t>
            </w:r>
          </w:p>
          <w:p w14:paraId="6E396D26">
            <w:pPr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i/>
                <w:iCs/>
                <w:color w:val="566573"/>
                <w:sz w:val="16"/>
                <w:szCs w:val="16"/>
              </w:rPr>
              <w:t>Per incident avg.</w:t>
            </w:r>
          </w:p>
        </w:tc>
        <w:tc>
          <w:tcPr>
            <w:tcW w:w="2416" w:type="dxa"/>
            <w:tcBorders>
              <w:top w:val="single" w:color="1B4F8A" w:sz="0" w:space="0"/>
              <w:left w:val="single" w:color="1B4F8A" w:sz="0" w:space="0"/>
              <w:bottom w:val="single" w:color="1B4F8A" w:sz="0" w:space="0"/>
              <w:right w:val="single" w:color="1B4F8A" w:sz="0" w:space="0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765FC5">
            <w:pPr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b/>
                <w:bCs/>
                <w:color w:val="1B4F8A"/>
                <w:sz w:val="40"/>
                <w:szCs w:val="40"/>
              </w:rPr>
              <w:t>2.5%</w:t>
            </w:r>
          </w:p>
          <w:p w14:paraId="3127DF86">
            <w:pPr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2C3E50"/>
                <w:sz w:val="18"/>
                <w:szCs w:val="18"/>
              </w:rPr>
              <w:t>Quality Cost / Revenue</w:t>
            </w:r>
          </w:p>
          <w:p w14:paraId="2520D247">
            <w:pPr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i/>
                <w:iCs/>
                <w:color w:val="566573"/>
                <w:sz w:val="16"/>
                <w:szCs w:val="16"/>
              </w:rPr>
              <w:t>OEM average</w:t>
            </w:r>
          </w:p>
        </w:tc>
        <w:tc>
          <w:tcPr>
            <w:tcW w:w="2769" w:type="dxa"/>
            <w:tcBorders>
              <w:top w:val="single" w:color="1B4F8A" w:sz="0" w:space="0"/>
              <w:left w:val="single" w:color="1B4F8A" w:sz="0" w:space="0"/>
              <w:bottom w:val="single" w:color="1B4F8A" w:sz="0" w:space="0"/>
              <w:right w:val="single" w:color="1B4F8A" w:sz="0" w:space="0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787D3A">
            <w:pPr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b/>
                <w:bCs/>
                <w:color w:val="1B4F8A"/>
                <w:sz w:val="40"/>
                <w:szCs w:val="40"/>
              </w:rPr>
              <w:t>+7%</w:t>
            </w:r>
          </w:p>
          <w:p w14:paraId="0D0935EC">
            <w:pPr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color w:val="2C3E50"/>
                <w:sz w:val="18"/>
                <w:szCs w:val="18"/>
              </w:rPr>
              <w:t>Recalls Rise YoY</w:t>
            </w:r>
          </w:p>
          <w:p w14:paraId="4BB0698F">
            <w:pPr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rial" w:cs="Arial"/>
                <w:i/>
                <w:iCs/>
                <w:color w:val="566573"/>
                <w:sz w:val="16"/>
                <w:szCs w:val="16"/>
              </w:rPr>
              <w:t>2023 → 2024</w:t>
            </w:r>
          </w:p>
        </w:tc>
      </w:tr>
    </w:tbl>
    <w:p w14:paraId="57872DC3">
      <w:pPr>
        <w:spacing w:before="20" w:after="20"/>
      </w:pPr>
    </w:p>
    <w:p w14:paraId="40544422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B4F8A"/>
          <w:sz w:val="36"/>
          <w:szCs w:val="36"/>
        </w:rPr>
        <w:t>01  Problem Statistics</w:t>
      </w:r>
    </w:p>
    <w:p w14:paraId="6860EEAA">
      <w:pPr>
        <w:spacing w:before="60" w:after="60"/>
      </w:pPr>
      <w:r>
        <w:rPr>
          <w:rFonts w:ascii="Arial" w:hAnsi="Arial" w:eastAsia="Arial" w:cs="Arial"/>
          <w:color w:val="2C3E50"/>
          <w:sz w:val="22"/>
          <w:szCs w:val="22"/>
        </w:rPr>
        <w:t>The following data has been gathered from peer-reviewed sources, industry reports, and company publications. All statistics are sourced with full references at the end of this document.</w:t>
      </w:r>
    </w:p>
    <w:p w14:paraId="69B5D98D">
      <w:pPr>
        <w:pStyle w:val="3"/>
        <w:pBdr>
          <w:bottom w:val="single" w:color="1B4F8A" w:sz="4" w:space="4"/>
        </w:pBdr>
        <w:spacing w:before="280" w:after="120"/>
      </w:pPr>
      <w:r>
        <w:rPr>
          <w:rFonts w:ascii="Arial" w:hAnsi="Arial" w:eastAsia="Arial" w:cs="Arial"/>
          <w:b/>
          <w:bCs/>
          <w:color w:val="2C3E50"/>
          <w:sz w:val="28"/>
          <w:szCs w:val="28"/>
        </w:rPr>
        <w:t>1.1  Vehicle Quality Failure Breakdown</w:t>
      </w:r>
    </w:p>
    <w:p w14:paraId="3191C15C">
      <w:pPr>
        <w:spacing w:before="60" w:after="60"/>
      </w:pPr>
      <w:r>
        <w:rPr>
          <w:rFonts w:ascii="Arial" w:hAnsi="Arial" w:eastAsia="Arial" w:cs="Arial"/>
          <w:color w:val="2C3E50"/>
          <w:sz w:val="22"/>
          <w:szCs w:val="22"/>
        </w:rPr>
        <w:t>Research into automotive quality failures at vehicle launch reveals a clear pattern of where defects originate:</w:t>
      </w:r>
    </w:p>
    <w:p w14:paraId="220BDA21">
      <w:pPr>
        <w:spacing w:before="120" w:after="8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00"/>
        <w:gridCol w:w="2400"/>
        <w:gridCol w:w="3160"/>
      </w:tblGrid>
      <w:tr w14:paraId="0A2A5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1B4F8A" w:sz="0" w:space="0"/>
              <w:left w:val="single" w:color="1B4F8A" w:sz="0" w:space="0"/>
              <w:bottom w:val="single" w:color="1B4F8A" w:sz="0" w:space="0"/>
              <w:right w:val="single" w:color="1B4F8A" w:sz="0" w:space="0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EE727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Vehicle System / Component</w:t>
            </w:r>
          </w:p>
        </w:tc>
        <w:tc>
          <w:tcPr>
            <w:tcW w:w="2400" w:type="dxa"/>
            <w:tcBorders>
              <w:top w:val="single" w:color="1B4F8A" w:sz="0" w:space="0"/>
              <w:left w:val="single" w:color="1B4F8A" w:sz="0" w:space="0"/>
              <w:bottom w:val="single" w:color="1B4F8A" w:sz="0" w:space="0"/>
              <w:right w:val="single" w:color="1B4F8A" w:sz="0" w:space="0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89D16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Share of Quality Failures</w:t>
            </w:r>
          </w:p>
        </w:tc>
        <w:tc>
          <w:tcPr>
            <w:tcW w:w="3160" w:type="dxa"/>
            <w:tcBorders>
              <w:top w:val="single" w:color="1B4F8A" w:sz="0" w:space="0"/>
              <w:left w:val="single" w:color="1B4F8A" w:sz="0" w:space="0"/>
              <w:bottom w:val="single" w:color="1B4F8A" w:sz="0" w:space="0"/>
              <w:right w:val="single" w:color="1B4F8A" w:sz="0" w:space="0"/>
            </w:tcBorders>
            <w:shd w:val="clear" w:color="auto" w:fill="1B4F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B5775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AI PM Implication</w:t>
            </w:r>
          </w:p>
        </w:tc>
      </w:tr>
      <w:tr w14:paraId="4B016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9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4D4A9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Exterior Components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9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68F46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E74C3C"/>
                <w:sz w:val="20"/>
                <w:szCs w:val="20"/>
              </w:rPr>
              <w:t>27.2%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9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DA43C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Highest ROI for visual inspection AI</w:t>
            </w:r>
          </w:p>
        </w:tc>
      </w:tr>
      <w:tr w14:paraId="6F7DF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3718B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Interior Components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B8286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E74C3C"/>
                <w:sz w:val="20"/>
                <w:szCs w:val="20"/>
              </w:rPr>
              <w:t>23.0%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4E891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Strong case for in-line sensor monitoring</w:t>
            </w:r>
          </w:p>
        </w:tc>
      </w:tr>
      <w:tr w14:paraId="0795D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9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F2D67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Generic Assembly Parts
(fasteners, adhesives, screws)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9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056AA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E74C3C"/>
                <w:sz w:val="20"/>
                <w:szCs w:val="20"/>
              </w:rPr>
              <w:t>13.6%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9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98DB6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Assembly line AI detection priority</w:t>
            </w:r>
          </w:p>
        </w:tc>
      </w:tr>
      <w:tr w14:paraId="6FF67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AD54B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Electronic Control Units (ECUs)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28A0D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E74C3C"/>
                <w:sz w:val="20"/>
                <w:szCs w:val="20"/>
              </w:rPr>
              <w:t>8.2% failures /
11.2% of QA costs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D7123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Disproportionate cost: target ECU testing AI</w:t>
            </w:r>
          </w:p>
        </w:tc>
      </w:tr>
    </w:tbl>
    <w:p w14:paraId="4F90D08C">
      <w:pPr>
        <w:spacing w:before="60" w:after="60"/>
        <w:rPr>
          <w:rFonts w:ascii="Arial" w:hAnsi="Arial" w:eastAsia="Arial" w:cs="Arial"/>
          <w:i/>
          <w:iCs/>
          <w:color w:val="566573"/>
          <w:sz w:val="18"/>
          <w:szCs w:val="18"/>
        </w:rPr>
      </w:pPr>
      <w:r>
        <w:rPr>
          <w:rFonts w:ascii="Arial" w:hAnsi="Arial" w:eastAsia="Arial" w:cs="Arial"/>
          <w:i/>
          <w:iCs/>
          <w:color w:val="566573"/>
          <w:sz w:val="18"/>
          <w:szCs w:val="18"/>
        </w:rPr>
        <w:t>Source: TRIGO Quality Control Automotive Analysis [1]</w:t>
      </w:r>
    </w:p>
    <w:p w14:paraId="4CBA40BD">
      <w:pPr>
        <w:spacing w:before="60" w:after="60"/>
        <w:rPr>
          <w:rFonts w:ascii="Arial" w:hAnsi="Arial" w:eastAsia="Arial" w:cs="Arial"/>
          <w:i/>
          <w:iCs/>
          <w:color w:val="566573"/>
          <w:sz w:val="18"/>
          <w:szCs w:val="18"/>
        </w:rPr>
      </w:pPr>
    </w:p>
    <w:p w14:paraId="4046301E">
      <w:pPr>
        <w:spacing w:before="60" w:after="60"/>
        <w:rPr>
          <w:rFonts w:ascii="Arial" w:hAnsi="Arial" w:eastAsia="Arial" w:cs="Arial"/>
          <w:i/>
          <w:iCs/>
          <w:color w:val="566573"/>
          <w:sz w:val="18"/>
          <w:szCs w:val="18"/>
        </w:rPr>
      </w:pPr>
    </w:p>
    <w:p w14:paraId="3ED2A45B">
      <w:pPr>
        <w:spacing w:before="60" w:after="60"/>
        <w:rPr>
          <w:rFonts w:ascii="Arial" w:hAnsi="Arial" w:eastAsia="Arial" w:cs="Arial"/>
          <w:i/>
          <w:iCs/>
          <w:color w:val="566573"/>
          <w:sz w:val="18"/>
          <w:szCs w:val="18"/>
        </w:rPr>
      </w:pPr>
    </w:p>
    <w:p w14:paraId="35CA4C95">
      <w:pPr>
        <w:spacing w:before="60" w:after="60"/>
        <w:rPr>
          <w:rFonts w:ascii="Arial" w:hAnsi="Arial" w:eastAsia="Arial" w:cs="Arial"/>
          <w:i/>
          <w:iCs/>
          <w:color w:val="566573"/>
          <w:sz w:val="18"/>
          <w:szCs w:val="18"/>
        </w:rPr>
      </w:pPr>
    </w:p>
    <w:p w14:paraId="6EBB2AA4">
      <w:pPr>
        <w:spacing w:before="60" w:after="60"/>
        <w:rPr>
          <w:rFonts w:ascii="Arial" w:hAnsi="Arial" w:eastAsia="Arial" w:cs="Arial"/>
          <w:i/>
          <w:iCs/>
          <w:color w:val="566573"/>
          <w:sz w:val="18"/>
          <w:szCs w:val="18"/>
        </w:rPr>
      </w:pPr>
    </w:p>
    <w:p w14:paraId="76482FD5">
      <w:pPr>
        <w:pStyle w:val="3"/>
        <w:pBdr>
          <w:bottom w:val="single" w:color="1B4F8A" w:sz="4" w:space="4"/>
        </w:pBdr>
        <w:spacing w:before="280" w:after="120"/>
      </w:pPr>
      <w:r>
        <w:rPr>
          <w:rFonts w:ascii="Arial" w:hAnsi="Arial" w:eastAsia="Arial" w:cs="Arial"/>
          <w:b/>
          <w:bCs/>
          <w:color w:val="2C3E50"/>
          <w:sz w:val="28"/>
          <w:szCs w:val="28"/>
        </w:rPr>
        <w:t>1.2  Recall &amp; Warranty Statistics</w:t>
      </w:r>
    </w:p>
    <w:p w14:paraId="4DC0E995">
      <w:pPr>
        <w:spacing w:before="200" w:after="80"/>
      </w:pPr>
      <w:r>
        <w:rPr>
          <w:rFonts w:ascii="Arial" w:hAnsi="Arial" w:eastAsia="Arial" w:cs="Arial"/>
          <w:b/>
          <w:bCs/>
          <w:color w:val="2C3E50"/>
          <w:sz w:val="24"/>
          <w:szCs w:val="24"/>
        </w:rPr>
        <w:t>Global Recall Volume (2024)</w:t>
      </w:r>
    </w:p>
    <w:p w14:paraId="27CB3F16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C3E50"/>
          <w:sz w:val="22"/>
          <w:szCs w:val="22"/>
        </w:rPr>
        <w:t>Total recalls in 2024: 854 campaigns up 7% from 795 in 2023 [2]</w:t>
      </w:r>
    </w:p>
    <w:p w14:paraId="205A2AB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C3E50"/>
          <w:sz w:val="22"/>
          <w:szCs w:val="22"/>
        </w:rPr>
        <w:t>Software-related recalls surged +35%, from 113 to 153 campaigns year-on-year [2]</w:t>
      </w:r>
    </w:p>
    <w:p w14:paraId="05147F4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C3E50"/>
          <w:sz w:val="22"/>
          <w:szCs w:val="22"/>
        </w:rPr>
        <w:t>Vehicles affected by software recalls: 13.4 million in 2024 a 4x increase from 3.3 million in 2023 [2]</w:t>
      </w:r>
    </w:p>
    <w:p w14:paraId="091F23A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C3E50"/>
          <w:sz w:val="22"/>
          <w:szCs w:val="22"/>
        </w:rPr>
        <w:t>27.7 million total vehicles recalled in 2024 globally (down from 33M in 2023) [3]</w:t>
      </w:r>
    </w:p>
    <w:p w14:paraId="03F0B174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C3E50"/>
          <w:sz w:val="22"/>
          <w:szCs w:val="22"/>
        </w:rPr>
        <w:t>More than 1 in 4 vehicles on US roads carry at least one open recall [3]</w:t>
      </w:r>
    </w:p>
    <w:p w14:paraId="1F27FC7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C3E50"/>
          <w:sz w:val="22"/>
          <w:szCs w:val="22"/>
        </w:rPr>
        <w:t>505 recall campaigns in 2024 classified as 'high-risk' [4]</w:t>
      </w:r>
    </w:p>
    <w:p w14:paraId="2F26995A">
      <w:pPr>
        <w:spacing w:before="200" w:after="80"/>
      </w:pPr>
      <w:r>
        <w:rPr>
          <w:rFonts w:ascii="Arial" w:hAnsi="Arial" w:eastAsia="Arial" w:cs="Arial"/>
          <w:b/>
          <w:bCs/>
          <w:color w:val="2C3E50"/>
          <w:sz w:val="24"/>
          <w:szCs w:val="24"/>
        </w:rPr>
        <w:t>Recall Cost &amp; Financial Impact</w:t>
      </w:r>
    </w:p>
    <w:p w14:paraId="25A8A33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color w:val="E74C3C"/>
          <w:sz w:val="22"/>
          <w:szCs w:val="22"/>
        </w:rPr>
        <w:t>Warranty costs equate to approximately 2.5% of total OEM sales revenue [5]</w:t>
      </w:r>
    </w:p>
    <w:p w14:paraId="2AD1FBA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C3E50"/>
          <w:sz w:val="22"/>
          <w:szCs w:val="22"/>
        </w:rPr>
        <w:t>In 2022, warranty claims in the US small vehicle sector exceeded $9 billion [5]</w:t>
      </w:r>
    </w:p>
    <w:p w14:paraId="361958E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C3E50"/>
          <w:sz w:val="22"/>
          <w:szCs w:val="22"/>
        </w:rPr>
        <w:t>Global automotive warranty claims and accruals grew 17% from 2022 to 2023 [6]</w:t>
      </w:r>
    </w:p>
    <w:p w14:paraId="2CC1015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C3E50"/>
          <w:sz w:val="22"/>
          <w:szCs w:val="22"/>
        </w:rPr>
        <w:t>VW Group held $30 billion in warranty reserves at end of 2023 [6]</w:t>
      </w:r>
    </w:p>
    <w:p w14:paraId="1907CF6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C3E50"/>
          <w:sz w:val="22"/>
          <w:szCs w:val="22"/>
        </w:rPr>
        <w:t>German automakers consistently hold the highest warranty costs among world automotive countries [7]</w:t>
      </w:r>
    </w:p>
    <w:p w14:paraId="4F2833E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color w:val="E74C3C"/>
          <w:sz w:val="22"/>
          <w:szCs w:val="22"/>
        </w:rPr>
        <w:t>ECU-related defects: account for 8.2% of incidents but drive 11.2% of QA costs 37% cost premium [1]</w:t>
      </w:r>
    </w:p>
    <w:p w14:paraId="57C866BD">
      <w:pPr>
        <w:spacing w:before="200" w:after="80"/>
      </w:pPr>
      <w:r>
        <w:rPr>
          <w:rFonts w:ascii="Arial" w:hAnsi="Arial" w:eastAsia="Arial" w:cs="Arial"/>
          <w:b/>
          <w:bCs/>
          <w:color w:val="2C3E50"/>
          <w:sz w:val="24"/>
          <w:szCs w:val="24"/>
        </w:rPr>
        <w:t>Predictive Maintenance ROI (Manufacturing Context)</w:t>
      </w:r>
    </w:p>
    <w:p w14:paraId="530F34F3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C3E50"/>
          <w:sz w:val="22"/>
          <w:szCs w:val="22"/>
        </w:rPr>
        <w:t>Maintenance cost reduction: 25–30% (predictive AI) vs 8–12% (preventive only) [8]</w:t>
      </w:r>
    </w:p>
    <w:p w14:paraId="0D01F95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C3E50"/>
          <w:sz w:val="22"/>
          <w:szCs w:val="22"/>
        </w:rPr>
        <w:t>Machine downtime reduction: 70–75% (predictive) vs 10–20% (preventive) [8]</w:t>
      </w:r>
    </w:p>
    <w:p w14:paraId="2E201882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C3E50"/>
          <w:sz w:val="22"/>
          <w:szCs w:val="22"/>
        </w:rPr>
        <w:t>Service life extension: 20–40% with predictive AI [8]</w:t>
      </w:r>
    </w:p>
    <w:p w14:paraId="23741E3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C3E50"/>
          <w:sz w:val="22"/>
          <w:szCs w:val="22"/>
        </w:rPr>
        <w:t>Energy savings: 7–12% (predictive) vs 5–11% (preventive) [8]</w:t>
      </w:r>
    </w:p>
    <w:p w14:paraId="1A1BCF6D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C3E50"/>
          <w:sz w:val="22"/>
          <w:szCs w:val="22"/>
        </w:rPr>
        <w:t>IBM Maximo APM reports 6.3% maintenance cost reduction benchmark [9]</w:t>
      </w:r>
    </w:p>
    <w:p w14:paraId="7515A17A">
      <w:pPr>
        <w:pStyle w:val="3"/>
        <w:pBdr>
          <w:bottom w:val="single" w:color="1B4F8A" w:sz="4" w:space="4"/>
        </w:pBdr>
        <w:spacing w:before="280" w:after="120"/>
      </w:pPr>
      <w:r>
        <w:rPr>
          <w:rFonts w:ascii="Arial" w:hAnsi="Arial" w:eastAsia="Arial" w:cs="Arial"/>
          <w:b/>
          <w:bCs/>
          <w:color w:val="2C3E50"/>
          <w:sz w:val="28"/>
          <w:szCs w:val="28"/>
        </w:rPr>
        <w:t>1.3  Software &amp; Electronics Quality Crisis</w:t>
      </w:r>
    </w:p>
    <w:p w14:paraId="314F5CF6">
      <w:pPr>
        <w:spacing w:before="60" w:after="60"/>
      </w:pPr>
      <w:r>
        <w:rPr>
          <w:rFonts w:ascii="Arial" w:hAnsi="Arial" w:eastAsia="Arial" w:cs="Arial"/>
          <w:color w:val="2C3E50"/>
          <w:sz w:val="22"/>
          <w:szCs w:val="22"/>
        </w:rPr>
        <w:t>A critical emerging trend directly relevant to Infineon and Siemens:</w:t>
      </w:r>
    </w:p>
    <w:p w14:paraId="2EF425D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color w:val="E74C3C"/>
          <w:sz w:val="22"/>
          <w:szCs w:val="22"/>
        </w:rPr>
        <w:t xml:space="preserve">46% of all 2024 recalls were caused by software/electronic issues </w:t>
      </w:r>
      <w:r>
        <w:rPr>
          <w:rFonts w:hint="default" w:cs="Arial"/>
          <w:b/>
          <w:bCs/>
          <w:color w:val="E74C3C"/>
          <w:sz w:val="22"/>
          <w:szCs w:val="22"/>
          <w:lang w:val="en-US"/>
        </w:rPr>
        <w:t xml:space="preserve">went </w:t>
      </w:r>
      <w:r>
        <w:rPr>
          <w:rFonts w:ascii="Arial" w:hAnsi="Arial" w:eastAsia="Arial" w:cs="Arial"/>
          <w:b/>
          <w:bCs/>
          <w:color w:val="E74C3C"/>
          <w:sz w:val="22"/>
          <w:szCs w:val="22"/>
        </w:rPr>
        <w:t>up from just 14.2% in 2023 [2]</w:t>
      </w:r>
    </w:p>
    <w:p w14:paraId="77FA90D3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C3E50"/>
          <w:sz w:val="22"/>
          <w:szCs w:val="22"/>
        </w:rPr>
        <w:t>174 campaigns affecting 13.8 million vehicles linked to software and electronic failures in 2024 [4]</w:t>
      </w:r>
    </w:p>
    <w:p w14:paraId="40CCD8D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C3E50"/>
          <w:sz w:val="22"/>
          <w:szCs w:val="22"/>
        </w:rPr>
        <w:t>Software-defined vehicles (SDVs) are increasing defect complexity with millions of lines of code [2]</w:t>
      </w:r>
    </w:p>
    <w:p w14:paraId="4DB43F43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C3E50"/>
          <w:sz w:val="22"/>
          <w:szCs w:val="22"/>
        </w:rPr>
        <w:t>Most software recalls still require physical dealership visits OTA fixes remain the exception [3]</w:t>
      </w:r>
    </w:p>
    <w:p w14:paraId="413CE28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C3E50"/>
          <w:sz w:val="22"/>
          <w:szCs w:val="22"/>
        </w:rPr>
        <w:t>Tesla is the only manufacturer resolving all software defects via OTA updates; legacy OEMs lag [2]</w:t>
      </w:r>
    </w:p>
    <w:p w14:paraId="486B52CD">
      <w:pPr>
        <w:pBdr>
          <w:bottom w:val="single" w:color="CCCCCC" w:sz="2" w:space="1"/>
        </w:pBdr>
        <w:spacing w:before="160" w:after="160"/>
      </w:pPr>
    </w:p>
    <w:p w14:paraId="76B4B539">
      <w:pPr>
        <w:pBdr>
          <w:bottom w:val="single" w:color="CCCCCC" w:sz="2" w:space="1"/>
        </w:pBdr>
        <w:spacing w:before="160" w:after="160"/>
      </w:pPr>
    </w:p>
    <w:p w14:paraId="14341CBC">
      <w:pPr>
        <w:pBdr>
          <w:bottom w:val="single" w:color="CCCCCC" w:sz="2" w:space="1"/>
        </w:pBdr>
        <w:spacing w:before="160" w:after="160"/>
      </w:pPr>
    </w:p>
    <w:p w14:paraId="3CBC0108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B4F8A"/>
          <w:sz w:val="36"/>
          <w:szCs w:val="36"/>
        </w:rPr>
        <w:t>02  Competitive Landscape</w:t>
      </w:r>
    </w:p>
    <w:p w14:paraId="0FA532CF">
      <w:pPr>
        <w:spacing w:before="60" w:after="60"/>
      </w:pPr>
      <w:r>
        <w:rPr>
          <w:rFonts w:ascii="Arial" w:hAnsi="Arial" w:eastAsia="Arial" w:cs="Arial"/>
          <w:color w:val="2C3E50"/>
          <w:sz w:val="22"/>
          <w:szCs w:val="22"/>
        </w:rPr>
        <w:t>Analysis of existing players across quality control, predictive maintenance, and AI-driven manufacturing intelligence.</w:t>
      </w:r>
    </w:p>
    <w:p w14:paraId="7144C012">
      <w:pPr>
        <w:pStyle w:val="3"/>
        <w:pBdr>
          <w:bottom w:val="single" w:color="1B4F8A" w:sz="4" w:space="4"/>
        </w:pBdr>
        <w:spacing w:before="280" w:after="120"/>
      </w:pPr>
      <w:r>
        <w:rPr>
          <w:rFonts w:ascii="Arial" w:hAnsi="Arial" w:eastAsia="Arial" w:cs="Arial"/>
          <w:b/>
          <w:bCs/>
          <w:color w:val="2C3E50"/>
          <w:sz w:val="28"/>
          <w:szCs w:val="28"/>
        </w:rPr>
        <w:t>2.1  Existing Solutions Overview</w:t>
      </w:r>
    </w:p>
    <w:p w14:paraId="65AEDD63">
      <w:pPr>
        <w:spacing w:before="80" w:after="8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300"/>
        <w:gridCol w:w="1300"/>
        <w:gridCol w:w="1300"/>
        <w:gridCol w:w="1300"/>
        <w:gridCol w:w="1760"/>
      </w:tblGrid>
      <w:tr w14:paraId="5A9E8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AD0E6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80E679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Siemens MindSphere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96A8F2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SAP QM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86692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Bosch Nexeed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A22FA6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GE Predix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2BBAA4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YOUR MVP</w:t>
            </w:r>
          </w:p>
        </w:tc>
      </w:tr>
      <w:tr w14:paraId="3BB0D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40B7E">
            <w:r>
              <w:rPr>
                <w:rFonts w:ascii="Arial" w:hAnsi="Arial" w:eastAsia="Arial" w:cs="Arial"/>
                <w:b/>
                <w:bCs/>
                <w:color w:val="2C3E50"/>
                <w:sz w:val="19"/>
                <w:szCs w:val="19"/>
              </w:rPr>
              <w:t>Real-time prediction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4E0A3"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Batch (hourly)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359877"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No (logs only)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6F5D5A"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Real-time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5405F"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Real-time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4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8F503">
            <w:r>
              <w:rPr>
                <w:rFonts w:ascii="Arial" w:hAnsi="Arial" w:eastAsia="Arial" w:cs="Arial"/>
                <w:b w:val="0"/>
                <w:bCs w:val="0"/>
                <w:color w:val="1E8449"/>
                <w:sz w:val="19"/>
                <w:szCs w:val="19"/>
              </w:rPr>
              <w:t>Real-time (&lt;10s)</w:t>
            </w:r>
          </w:p>
        </w:tc>
      </w:tr>
      <w:tr w14:paraId="3CB13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B7DCD5">
            <w:r>
              <w:rPr>
                <w:rFonts w:ascii="Arial" w:hAnsi="Arial" w:eastAsia="Arial" w:cs="Arial"/>
                <w:b/>
                <w:bCs/>
                <w:color w:val="2C3E50"/>
                <w:sz w:val="19"/>
                <w:szCs w:val="19"/>
              </w:rPr>
              <w:t>Explainable AI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A45804"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Limited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F50C2"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None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C64305"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No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6F9C6"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Limited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4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F66D1">
            <w:r>
              <w:rPr>
                <w:rFonts w:ascii="Arial" w:hAnsi="Arial" w:eastAsia="Arial" w:cs="Arial"/>
                <w:b w:val="0"/>
                <w:bCs w:val="0"/>
                <w:color w:val="1E8449"/>
                <w:sz w:val="19"/>
                <w:szCs w:val="19"/>
              </w:rPr>
              <w:t>Top 3 factors</w:t>
            </w:r>
          </w:p>
        </w:tc>
      </w:tr>
      <w:tr w14:paraId="6688D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7EB18">
            <w:r>
              <w:rPr>
                <w:rFonts w:ascii="Arial" w:hAnsi="Arial" w:eastAsia="Arial" w:cs="Arial"/>
                <w:b/>
                <w:bCs/>
                <w:color w:val="2C3E50"/>
                <w:sz w:val="19"/>
                <w:szCs w:val="19"/>
              </w:rPr>
              <w:t>ROI / cost calculator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DBEBD"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No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C0959"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No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0D636"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No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6E1DF4"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No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4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E7CA8">
            <w:r>
              <w:rPr>
                <w:rFonts w:ascii="Arial" w:hAnsi="Arial" w:eastAsia="Arial" w:cs="Arial"/>
                <w:b w:val="0"/>
                <w:bCs w:val="0"/>
                <w:color w:val="1E8449"/>
                <w:sz w:val="19"/>
                <w:szCs w:val="19"/>
              </w:rPr>
              <w:t>Live EUR view</w:t>
            </w:r>
          </w:p>
        </w:tc>
      </w:tr>
      <w:tr w14:paraId="3C328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CAD57">
            <w:r>
              <w:rPr>
                <w:rFonts w:ascii="Arial" w:hAnsi="Arial" w:eastAsia="Arial" w:cs="Arial"/>
                <w:b/>
                <w:bCs/>
                <w:color w:val="2C3E50"/>
                <w:sz w:val="19"/>
                <w:szCs w:val="19"/>
              </w:rPr>
              <w:t>Deployment time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4D889A"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6–12 months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4CBCDE"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6–18 months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04B68"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6 months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41AA62"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9–12 months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4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AB951B">
            <w:r>
              <w:rPr>
                <w:rFonts w:ascii="Arial" w:hAnsi="Arial" w:eastAsia="Arial" w:cs="Arial"/>
                <w:b w:val="0"/>
                <w:bCs w:val="0"/>
                <w:color w:val="1E8449"/>
                <w:sz w:val="19"/>
                <w:szCs w:val="19"/>
              </w:rPr>
              <w:t>3 months</w:t>
            </w:r>
          </w:p>
        </w:tc>
      </w:tr>
      <w:tr w14:paraId="47909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33391">
            <w:r>
              <w:rPr>
                <w:rFonts w:ascii="Arial" w:hAnsi="Arial" w:eastAsia="Arial" w:cs="Arial"/>
                <w:b/>
                <w:bCs/>
                <w:color w:val="2C3E50"/>
                <w:sz w:val="19"/>
                <w:szCs w:val="19"/>
              </w:rPr>
              <w:t>Target market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BF8A4"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Enterprise (&gt;€1B)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37B4A1"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SAP customers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496DF"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Enterprise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9C1E00"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Enterprise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4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82E57">
            <w:r>
              <w:rPr>
                <w:rFonts w:ascii="Arial" w:hAnsi="Arial" w:eastAsia="Arial" w:cs="Arial"/>
                <w:b w:val="0"/>
                <w:bCs w:val="0"/>
                <w:color w:val="1E8449"/>
                <w:sz w:val="19"/>
                <w:szCs w:val="19"/>
              </w:rPr>
              <w:t>Mid-market</w:t>
            </w:r>
          </w:p>
        </w:tc>
      </w:tr>
      <w:tr w14:paraId="3684F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C3F27">
            <w:r>
              <w:rPr>
                <w:rFonts w:ascii="Arial" w:hAnsi="Arial" w:eastAsia="Arial" w:cs="Arial"/>
                <w:b/>
                <w:bCs/>
                <w:color w:val="2C3E50"/>
                <w:sz w:val="19"/>
                <w:szCs w:val="19"/>
              </w:rPr>
              <w:t>Pricing estimate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FC973"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€100K+/yr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54E5A3"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Bundled / high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EF62A"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€80K+/yr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0B98BD"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€120K+/yr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4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4470A">
            <w:r>
              <w:rPr>
                <w:rFonts w:ascii="Arial" w:hAnsi="Arial" w:eastAsia="Arial" w:cs="Arial"/>
                <w:b w:val="0"/>
                <w:bCs w:val="0"/>
                <w:color w:val="1E8449"/>
                <w:sz w:val="19"/>
                <w:szCs w:val="19"/>
              </w:rPr>
              <w:t>€15–30K/yr</w:t>
            </w:r>
          </w:p>
        </w:tc>
      </w:tr>
      <w:tr w14:paraId="4BABE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BCB073">
            <w:r>
              <w:rPr>
                <w:rFonts w:ascii="Arial" w:hAnsi="Arial" w:eastAsia="Arial" w:cs="Arial"/>
                <w:b/>
                <w:bCs/>
                <w:color w:val="2C3E50"/>
                <w:sz w:val="19"/>
                <w:szCs w:val="19"/>
              </w:rPr>
              <w:t>GDPR / EU hosting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A1374"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Yes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17E3C"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Yes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2D6FE9"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Yes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F2C18"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Partial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4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C4DAA">
            <w:r>
              <w:rPr>
                <w:rFonts w:ascii="Arial" w:hAnsi="Arial" w:eastAsia="Arial" w:cs="Arial"/>
                <w:b w:val="0"/>
                <w:bCs w:val="0"/>
                <w:color w:val="1E8449"/>
                <w:sz w:val="19"/>
                <w:szCs w:val="19"/>
              </w:rPr>
              <w:t>Germany-hosted</w:t>
            </w:r>
          </w:p>
        </w:tc>
      </w:tr>
      <w:tr w14:paraId="405B8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1129F2">
            <w:r>
              <w:rPr>
                <w:rFonts w:ascii="Arial" w:hAnsi="Arial" w:eastAsia="Arial" w:cs="Arial"/>
                <w:b/>
                <w:bCs/>
                <w:color w:val="2C3E50"/>
                <w:sz w:val="19"/>
                <w:szCs w:val="19"/>
              </w:rPr>
              <w:t>SAP integration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6D425"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Yes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1A6D12"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Native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A96B7"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Partial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C8AFF"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No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4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4F273">
            <w:r>
              <w:rPr>
                <w:rFonts w:ascii="Arial" w:hAnsi="Arial" w:eastAsia="Arial" w:cs="Arial"/>
                <w:b w:val="0"/>
                <w:bCs w:val="0"/>
                <w:color w:val="1E8449"/>
                <w:sz w:val="19"/>
                <w:szCs w:val="19"/>
              </w:rPr>
              <w:t>v1.5 planned</w:t>
            </w:r>
          </w:p>
        </w:tc>
      </w:tr>
      <w:tr w14:paraId="7FC2E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6A1612">
            <w:r>
              <w:rPr>
                <w:rFonts w:ascii="Arial" w:hAnsi="Arial" w:eastAsia="Arial" w:cs="Arial"/>
                <w:b/>
                <w:bCs/>
                <w:color w:val="2C3E50"/>
                <w:sz w:val="19"/>
                <w:szCs w:val="19"/>
              </w:rPr>
              <w:t>Ease of use (1-10)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DB2EC"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6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00B8B"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4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36DE6"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7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3898D">
            <w:r>
              <w:rPr>
                <w:rFonts w:ascii="Arial" w:hAnsi="Arial" w:eastAsia="Arial" w:cs="Arial"/>
                <w:b w:val="0"/>
                <w:bCs w:val="0"/>
                <w:color w:val="2C3E50"/>
                <w:sz w:val="19"/>
                <w:szCs w:val="19"/>
              </w:rPr>
              <w:t>5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4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55D58D">
            <w:r>
              <w:rPr>
                <w:rFonts w:ascii="Arial" w:hAnsi="Arial" w:eastAsia="Arial" w:cs="Arial"/>
                <w:b w:val="0"/>
                <w:bCs w:val="0"/>
                <w:color w:val="1E8449"/>
                <w:sz w:val="19"/>
                <w:szCs w:val="19"/>
              </w:rPr>
              <w:t xml:space="preserve"> 9 (designed for Klaus)</w:t>
            </w:r>
          </w:p>
        </w:tc>
      </w:tr>
    </w:tbl>
    <w:p w14:paraId="7E55795B">
      <w:pPr>
        <w:spacing w:before="60" w:after="60"/>
      </w:pPr>
      <w:r>
        <w:rPr>
          <w:rFonts w:ascii="Arial" w:hAnsi="Arial" w:eastAsia="Arial" w:cs="Arial"/>
          <w:i/>
          <w:iCs/>
          <w:color w:val="566573"/>
          <w:sz w:val="18"/>
          <w:szCs w:val="18"/>
        </w:rPr>
        <w:t>Sources: Company product pages, G2 reviews, Gartner reports [10][11][12][13]</w:t>
      </w:r>
    </w:p>
    <w:p w14:paraId="264876CA">
      <w:pPr>
        <w:pStyle w:val="3"/>
        <w:pBdr>
          <w:bottom w:val="single" w:color="1B4F8A" w:sz="4" w:space="4"/>
        </w:pBdr>
        <w:spacing w:before="280" w:after="120"/>
      </w:pPr>
      <w:r>
        <w:rPr>
          <w:rFonts w:ascii="Arial" w:hAnsi="Arial" w:eastAsia="Arial" w:cs="Arial"/>
          <w:b/>
          <w:bCs/>
          <w:color w:val="2C3E50"/>
          <w:sz w:val="28"/>
          <w:szCs w:val="28"/>
        </w:rPr>
        <w:t>2.2  Niche Specialist Players</w:t>
      </w:r>
    </w:p>
    <w:p w14:paraId="330BEE6A">
      <w:pPr>
        <w:spacing w:before="200" w:after="80"/>
      </w:pPr>
      <w:r>
        <w:rPr>
          <w:rFonts w:ascii="Arial" w:hAnsi="Arial" w:eastAsia="Arial" w:cs="Arial"/>
          <w:b/>
          <w:bCs/>
          <w:color w:val="2C3E50"/>
          <w:sz w:val="24"/>
          <w:szCs w:val="24"/>
        </w:rPr>
        <w:t>TRIGO Group</w:t>
      </w:r>
    </w:p>
    <w:p w14:paraId="41426468">
      <w:pPr>
        <w:spacing w:before="60" w:after="60"/>
      </w:pPr>
      <w:r>
        <w:rPr>
          <w:rFonts w:ascii="Arial" w:hAnsi="Arial" w:eastAsia="Arial" w:cs="Arial"/>
          <w:color w:val="2C3E50"/>
          <w:sz w:val="22"/>
          <w:szCs w:val="22"/>
        </w:rPr>
        <w:t>Specialises in quality control and quality management for the transportation and automotive industry. Strong in field quality assurance and supplier audits. Not a technology-first company</w:t>
      </w:r>
      <w:r>
        <w:rPr>
          <w:rFonts w:hint="default" w:cs="Arial"/>
          <w:color w:val="2C3E50"/>
          <w:sz w:val="22"/>
          <w:szCs w:val="22"/>
          <w:lang w:val="en-US"/>
        </w:rPr>
        <w:t xml:space="preserve">, </w:t>
      </w:r>
      <w:r>
        <w:rPr>
          <w:rFonts w:ascii="Arial" w:hAnsi="Arial" w:eastAsia="Arial" w:cs="Arial"/>
          <w:color w:val="2C3E50"/>
          <w:sz w:val="22"/>
          <w:szCs w:val="22"/>
        </w:rPr>
        <w:t>relies on human inspection teams augmented with software. Relevant because they have deep industry data on where defects originate.</w:t>
      </w:r>
    </w:p>
    <w:p w14:paraId="7CB89E18">
      <w:pPr>
        <w:spacing w:before="40" w:after="40"/>
      </w:pPr>
      <w:r>
        <w:rPr>
          <w:rFonts w:ascii="Arial" w:hAnsi="Arial" w:eastAsia="Arial" w:cs="Arial"/>
          <w:b/>
          <w:bCs/>
          <w:color w:val="1B4F8A"/>
          <w:sz w:val="22"/>
          <w:szCs w:val="22"/>
        </w:rPr>
        <w:t xml:space="preserve">Opportunity: </w:t>
      </w:r>
      <w:r>
        <w:rPr>
          <w:rFonts w:ascii="Arial" w:hAnsi="Arial" w:eastAsia="Arial" w:cs="Arial"/>
          <w:color w:val="2C3E50"/>
          <w:sz w:val="22"/>
          <w:szCs w:val="22"/>
        </w:rPr>
        <w:t>TRIGO focuses on 'detect and fix'; our solution focuses on 'predict and prevent'. Complementary, not directly competitive at MVP stage.</w:t>
      </w:r>
    </w:p>
    <w:p w14:paraId="127C8FC5">
      <w:pPr>
        <w:spacing w:before="200" w:after="80"/>
      </w:pPr>
      <w:r>
        <w:rPr>
          <w:rFonts w:ascii="Arial" w:hAnsi="Arial" w:eastAsia="Arial" w:cs="Arial"/>
          <w:b/>
          <w:bCs/>
          <w:color w:val="2C3E50"/>
          <w:sz w:val="24"/>
          <w:szCs w:val="24"/>
        </w:rPr>
        <w:t>Spark (Quality Data Platform)</w:t>
      </w:r>
    </w:p>
    <w:p w14:paraId="108B0CA5">
      <w:pPr>
        <w:spacing w:before="60" w:after="60"/>
      </w:pPr>
      <w:r>
        <w:rPr>
          <w:rFonts w:ascii="Arial" w:hAnsi="Arial" w:eastAsia="Arial" w:cs="Arial"/>
          <w:color w:val="2C3E50"/>
          <w:sz w:val="22"/>
          <w:szCs w:val="22"/>
        </w:rPr>
        <w:t>Provides structured collection and analysis of quality data for pattern detection and compliance risk management. Strong analytics layer but lacks real-time AI prediction. Serves compliance and audit use cases primarily.</w:t>
      </w:r>
    </w:p>
    <w:p w14:paraId="3F85D4E8">
      <w:pPr>
        <w:spacing w:before="40" w:after="40"/>
      </w:pPr>
      <w:r>
        <w:rPr>
          <w:rFonts w:ascii="Arial" w:hAnsi="Arial" w:eastAsia="Arial" w:cs="Arial"/>
          <w:b/>
          <w:bCs/>
          <w:color w:val="1B4F8A"/>
          <w:sz w:val="22"/>
          <w:szCs w:val="22"/>
        </w:rPr>
        <w:t xml:space="preserve">Opportunity: </w:t>
      </w:r>
      <w:r>
        <w:rPr>
          <w:rFonts w:ascii="Arial" w:hAnsi="Arial" w:eastAsia="Arial" w:cs="Arial"/>
          <w:color w:val="2C3E50"/>
          <w:sz w:val="22"/>
          <w:szCs w:val="22"/>
        </w:rPr>
        <w:t>We can position as the real-time prediction engine that feeds structured results into platforms like Spark. Partnership potential in v2.0.</w:t>
      </w:r>
    </w:p>
    <w:p w14:paraId="1C42E9F9">
      <w:pPr>
        <w:spacing w:before="80" w:after="0"/>
      </w:pPr>
    </w:p>
    <w:p w14:paraId="42E5FB2A">
      <w:pPr>
        <w:spacing w:before="200" w:after="80"/>
      </w:pPr>
      <w:r>
        <w:rPr>
          <w:rFonts w:ascii="Arial" w:hAnsi="Arial" w:eastAsia="Arial" w:cs="Arial"/>
          <w:b/>
          <w:bCs/>
          <w:color w:val="2C3E50"/>
          <w:sz w:val="24"/>
          <w:szCs w:val="24"/>
        </w:rPr>
        <w:t>IBM Maximo Asset Performance Management (APM)</w:t>
      </w:r>
    </w:p>
    <w:p w14:paraId="41385C2B">
      <w:pPr>
        <w:spacing w:before="60" w:after="60"/>
      </w:pPr>
      <w:r>
        <w:rPr>
          <w:rFonts w:ascii="Arial" w:hAnsi="Arial" w:eastAsia="Arial" w:cs="Arial"/>
          <w:color w:val="2C3E50"/>
          <w:sz w:val="22"/>
          <w:szCs w:val="22"/>
        </w:rPr>
        <w:t>Enterprise-grade asset health assessment, risk prediction, and maintenance strategy optimisation. Broad industrial focus beyond automotive. Reports 6.3% maintenance cost reduction benchmark for customers.</w:t>
      </w:r>
    </w:p>
    <w:p w14:paraId="00BB4339">
      <w:pPr>
        <w:spacing w:before="40" w:after="40"/>
      </w:pPr>
      <w:r>
        <w:rPr>
          <w:rFonts w:ascii="Arial" w:hAnsi="Arial" w:eastAsia="Arial" w:cs="Arial"/>
          <w:b/>
          <w:bCs/>
          <w:color w:val="1B4F8A"/>
          <w:sz w:val="22"/>
          <w:szCs w:val="22"/>
        </w:rPr>
        <w:t xml:space="preserve">Opportunity: </w:t>
      </w:r>
      <w:r>
        <w:rPr>
          <w:rFonts w:ascii="Arial" w:hAnsi="Arial" w:eastAsia="Arial" w:cs="Arial"/>
          <w:color w:val="2C3E50"/>
          <w:sz w:val="22"/>
          <w:szCs w:val="22"/>
        </w:rPr>
        <w:t>IBM targets multi-industry enterprises (&gt;€500M revenue). German Tier 1/2 suppliers (€50–500M) are underserved</w:t>
      </w:r>
      <w:r>
        <w:rPr>
          <w:rFonts w:hint="default" w:cs="Arial"/>
          <w:color w:val="2C3E50"/>
          <w:sz w:val="22"/>
          <w:szCs w:val="22"/>
          <w:lang w:val="en-US"/>
        </w:rPr>
        <w:t xml:space="preserve">, </w:t>
      </w:r>
      <w:r>
        <w:rPr>
          <w:rFonts w:ascii="Arial" w:hAnsi="Arial" w:eastAsia="Arial" w:cs="Arial"/>
          <w:color w:val="2C3E50"/>
          <w:sz w:val="22"/>
          <w:szCs w:val="22"/>
        </w:rPr>
        <w:t>our ideal addressable market.</w:t>
      </w:r>
    </w:p>
    <w:p w14:paraId="52102F2C">
      <w:pPr>
        <w:spacing w:before="120" w:after="0"/>
      </w:pPr>
    </w:p>
    <w:p w14:paraId="5BF1D8C3">
      <w:pPr>
        <w:pStyle w:val="3"/>
        <w:pBdr>
          <w:bottom w:val="single" w:color="1B4F8A" w:sz="4" w:space="4"/>
        </w:pBdr>
        <w:spacing w:before="280" w:after="120"/>
      </w:pPr>
      <w:r>
        <w:rPr>
          <w:rFonts w:ascii="Arial" w:hAnsi="Arial" w:eastAsia="Arial" w:cs="Arial"/>
          <w:b/>
          <w:bCs/>
          <w:color w:val="2C3E50"/>
          <w:sz w:val="28"/>
          <w:szCs w:val="28"/>
        </w:rPr>
        <w:t>2.3  Our Competitive Advantage (Differentiation Matrix)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2600"/>
        <w:gridCol w:w="5960"/>
      </w:tblGrid>
      <w:tr w14:paraId="385A4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1B4F8A" w:sz="0" w:space="0"/>
              <w:left w:val="single" w:color="1B4F8A" w:sz="0" w:space="0"/>
              <w:bottom w:val="single" w:color="1B4F8A" w:sz="0" w:space="0"/>
              <w:right w:val="single" w:color="1B4F8A" w:sz="0" w:space="0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DDA89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color="1B4F8A" w:sz="0" w:space="0"/>
              <w:left w:val="single" w:color="1B4F8A" w:sz="0" w:space="0"/>
              <w:bottom w:val="single" w:color="1B4F8A" w:sz="0" w:space="0"/>
              <w:right w:val="single" w:color="1B4F8A" w:sz="0" w:space="0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FE19B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Advantage</w:t>
            </w:r>
          </w:p>
        </w:tc>
        <w:tc>
          <w:tcPr>
            <w:tcW w:w="5960" w:type="dxa"/>
            <w:tcBorders>
              <w:top w:val="single" w:color="1B4F8A" w:sz="0" w:space="0"/>
              <w:left w:val="single" w:color="1B4F8A" w:sz="0" w:space="0"/>
              <w:bottom w:val="single" w:color="1B4F8A" w:sz="0" w:space="0"/>
              <w:right w:val="single" w:color="1B4F8A" w:sz="0" w:space="0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2A4EC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Why It Wins</w:t>
            </w:r>
          </w:p>
        </w:tc>
      </w:tr>
      <w:tr w14:paraId="642B9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9F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52D791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9F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F40321">
            <w:r>
              <w:rPr>
                <w:rFonts w:ascii="Arial" w:hAnsi="Arial" w:eastAsia="Arial" w:cs="Arial"/>
                <w:b/>
                <w:bCs/>
                <w:color w:val="1E8449"/>
                <w:sz w:val="20"/>
                <w:szCs w:val="20"/>
              </w:rPr>
              <w:t>EUR-Denominated ROI Dashboard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9F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E0963C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Only solution showing live euro savings vs competitors showing 'accuracy %'. Michael's board approves budgets, not metrics.</w:t>
            </w:r>
          </w:p>
        </w:tc>
      </w:tr>
      <w:tr w14:paraId="5EC14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C0AD5E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F74039">
            <w:r>
              <w:rPr>
                <w:rFonts w:ascii="Arial" w:hAnsi="Arial" w:eastAsia="Arial" w:cs="Arial"/>
                <w:b/>
                <w:bCs/>
                <w:color w:val="1E8449"/>
                <w:sz w:val="20"/>
                <w:szCs w:val="20"/>
              </w:rPr>
              <w:t>Mid-Market Pricing (€15–30K)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DED248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80% of German Tier 1/2 suppliers are €50–500M companies</w:t>
            </w:r>
            <w:r>
              <w:rPr>
                <w:rFonts w:hint="default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ignored by Siemens/SAP/GE who target BMW-scale enterprises.</w:t>
            </w:r>
          </w:p>
        </w:tc>
      </w:tr>
      <w:tr w14:paraId="27991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9F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6195C8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9F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447FF3">
            <w:r>
              <w:rPr>
                <w:rFonts w:ascii="Arial" w:hAnsi="Arial" w:eastAsia="Arial" w:cs="Arial"/>
                <w:b/>
                <w:bCs/>
                <w:color w:val="1E8449"/>
                <w:sz w:val="20"/>
                <w:szCs w:val="20"/>
              </w:rPr>
              <w:t>Explainable AI by Design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9F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02FC20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Klaus (52, quality manager) needs to understand WHY. Black-box AI = zero adoption. Feature importance shown as plain-language recommendations.</w:t>
            </w:r>
          </w:p>
        </w:tc>
      </w:tr>
      <w:tr w14:paraId="5B08B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7FE129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CC8A77">
            <w:r>
              <w:rPr>
                <w:rFonts w:ascii="Arial" w:hAnsi="Arial" w:eastAsia="Arial" w:cs="Arial"/>
                <w:b/>
                <w:bCs/>
                <w:color w:val="1E8449"/>
                <w:sz w:val="20"/>
                <w:szCs w:val="20"/>
              </w:rPr>
              <w:t>3-Month Deployment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7658DC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Competitors take 6–18 months. German manufacturers can't afford long pilot cycles. We use existing sensors</w:t>
            </w:r>
            <w:r>
              <w:rPr>
                <w:rFonts w:hint="default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,</w:t>
            </w:r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 xml:space="preserve"> no hardware CapEx.</w:t>
            </w:r>
          </w:p>
        </w:tc>
      </w:tr>
      <w:tr w14:paraId="6233D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9F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F2E48A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9F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90028C">
            <w:r>
              <w:rPr>
                <w:rFonts w:ascii="Arial" w:hAnsi="Arial" w:eastAsia="Arial" w:cs="Arial"/>
                <w:b/>
                <w:bCs/>
                <w:color w:val="1E8449"/>
                <w:sz w:val="20"/>
                <w:szCs w:val="20"/>
              </w:rPr>
              <w:t>Germany-First Architecture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9F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06A8BB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Data hosted in Germany, German-language UI, IATF 16949 / VDA compliant reporting. GDPR-native, not GDPR-retrofitted.</w:t>
            </w:r>
          </w:p>
        </w:tc>
      </w:tr>
    </w:tbl>
    <w:p w14:paraId="4C3C1247">
      <w:pPr>
        <w:pBdr>
          <w:bottom w:val="single" w:color="CCCCCC" w:sz="2" w:space="1"/>
        </w:pBdr>
        <w:spacing w:before="160" w:after="160"/>
      </w:pPr>
    </w:p>
    <w:p w14:paraId="7892B637">
      <w:pPr>
        <w:pBdr>
          <w:bottom w:val="single" w:color="CCCCCC" w:sz="2" w:space="1"/>
        </w:pBdr>
        <w:spacing w:before="160" w:after="160"/>
      </w:pPr>
    </w:p>
    <w:p w14:paraId="107B0158">
      <w:pPr>
        <w:pBdr>
          <w:bottom w:val="single" w:color="CCCCCC" w:sz="2" w:space="1"/>
        </w:pBdr>
        <w:spacing w:before="160" w:after="160"/>
      </w:pPr>
    </w:p>
    <w:p w14:paraId="38C55341">
      <w:pPr>
        <w:pBdr>
          <w:bottom w:val="single" w:color="CCCCCC" w:sz="2" w:space="1"/>
        </w:pBdr>
        <w:spacing w:before="160" w:after="160"/>
      </w:pPr>
    </w:p>
    <w:p w14:paraId="30D20C62">
      <w:pPr>
        <w:pBdr>
          <w:bottom w:val="single" w:color="CCCCCC" w:sz="2" w:space="1"/>
        </w:pBdr>
        <w:spacing w:before="160" w:after="160"/>
      </w:pPr>
    </w:p>
    <w:p w14:paraId="099CFCB0">
      <w:pPr>
        <w:pBdr>
          <w:bottom w:val="single" w:color="CCCCCC" w:sz="2" w:space="1"/>
        </w:pBdr>
        <w:spacing w:before="160" w:after="160"/>
      </w:pPr>
    </w:p>
    <w:p w14:paraId="307E53E5">
      <w:pPr>
        <w:pBdr>
          <w:bottom w:val="single" w:color="CCCCCC" w:sz="2" w:space="1"/>
        </w:pBdr>
        <w:spacing w:before="160" w:after="160"/>
      </w:pPr>
    </w:p>
    <w:p w14:paraId="4E380198">
      <w:pPr>
        <w:pBdr>
          <w:bottom w:val="single" w:color="CCCCCC" w:sz="2" w:space="1"/>
        </w:pBdr>
        <w:spacing w:before="160" w:after="160"/>
      </w:pPr>
    </w:p>
    <w:p w14:paraId="13EDA5A9">
      <w:pPr>
        <w:pBdr>
          <w:bottom w:val="single" w:color="CCCCCC" w:sz="2" w:space="1"/>
        </w:pBdr>
        <w:spacing w:before="160" w:after="160"/>
      </w:pPr>
    </w:p>
    <w:p w14:paraId="2B1A2489">
      <w:pPr>
        <w:pBdr>
          <w:bottom w:val="single" w:color="CCCCCC" w:sz="2" w:space="1"/>
        </w:pBdr>
        <w:spacing w:before="160" w:after="160"/>
      </w:pPr>
    </w:p>
    <w:p w14:paraId="18C108EC">
      <w:pPr>
        <w:pBdr>
          <w:bottom w:val="single" w:color="CCCCCC" w:sz="2" w:space="1"/>
        </w:pBdr>
        <w:spacing w:before="160" w:after="160"/>
      </w:pPr>
    </w:p>
    <w:p w14:paraId="440296FC">
      <w:pPr>
        <w:pBdr>
          <w:bottom w:val="single" w:color="CCCCCC" w:sz="2" w:space="1"/>
        </w:pBdr>
        <w:spacing w:before="160" w:after="160"/>
      </w:pPr>
    </w:p>
    <w:p w14:paraId="53F11CC9">
      <w:pPr>
        <w:pBdr>
          <w:bottom w:val="single" w:color="CCCCCC" w:sz="2" w:space="1"/>
        </w:pBdr>
        <w:spacing w:before="160" w:after="160"/>
      </w:pPr>
    </w:p>
    <w:p w14:paraId="320125EB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B4F8A"/>
          <w:sz w:val="36"/>
          <w:szCs w:val="36"/>
        </w:rPr>
        <w:t>03  Pain Points &amp; Industry Challenges</w:t>
      </w:r>
    </w:p>
    <w:p w14:paraId="61C08338">
      <w:pPr>
        <w:pStyle w:val="3"/>
        <w:pBdr>
          <w:bottom w:val="single" w:color="1B4F8A" w:sz="4" w:space="4"/>
        </w:pBdr>
        <w:spacing w:before="280" w:after="120"/>
      </w:pPr>
      <w:r>
        <w:rPr>
          <w:rFonts w:ascii="Arial" w:hAnsi="Arial" w:eastAsia="Arial" w:cs="Arial"/>
          <w:b/>
          <w:bCs/>
          <w:color w:val="2C3E50"/>
          <w:sz w:val="28"/>
          <w:szCs w:val="28"/>
        </w:rPr>
        <w:t>3.1  From Your Research + Additional Findings</w:t>
      </w:r>
    </w:p>
    <w:p w14:paraId="333770ED">
      <w:pPr>
        <w:spacing w:before="200" w:after="80"/>
      </w:pPr>
      <w:r>
        <w:rPr>
          <w:rFonts w:ascii="Arial" w:hAnsi="Arial" w:eastAsia="Arial" w:cs="Arial"/>
          <w:b/>
          <w:bCs/>
          <w:color w:val="2C3E50"/>
          <w:sz w:val="24"/>
          <w:szCs w:val="24"/>
        </w:rPr>
        <w:t>Detection Timing Problems</w:t>
      </w:r>
    </w:p>
    <w:p w14:paraId="15B6E0AD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C3E50"/>
          <w:sz w:val="22"/>
          <w:szCs w:val="22"/>
        </w:rPr>
        <w:t>Quality issues discovered after parts have already been shipped to BMW or Daimler</w:t>
      </w:r>
      <w:r>
        <w:rPr>
          <w:rFonts w:hint="default" w:cs="Arial"/>
          <w:b w:val="0"/>
          <w:bCs w:val="0"/>
          <w:color w:val="2C3E50"/>
          <w:sz w:val="22"/>
          <w:szCs w:val="22"/>
          <w:lang w:val="en-US"/>
        </w:rPr>
        <w:t xml:space="preserve">, </w:t>
      </w:r>
      <w:r>
        <w:rPr>
          <w:rFonts w:ascii="Arial" w:hAnsi="Arial" w:eastAsia="Arial" w:cs="Arial"/>
          <w:b w:val="0"/>
          <w:bCs w:val="0"/>
          <w:color w:val="2C3E50"/>
          <w:sz w:val="22"/>
          <w:szCs w:val="22"/>
        </w:rPr>
        <w:t>triggering expensive warranty claims and damaging customer relationships</w:t>
      </w:r>
    </w:p>
    <w:p w14:paraId="215C8D9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C3E50"/>
          <w:sz w:val="22"/>
          <w:szCs w:val="22"/>
        </w:rPr>
        <w:t>Current reactive approach finds defects too late: post-production, post-shipment, or post-delivery to end consumer</w:t>
      </w:r>
    </w:p>
    <w:p w14:paraId="502EA6D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C3E50"/>
          <w:sz w:val="22"/>
          <w:szCs w:val="22"/>
        </w:rPr>
        <w:t>Manual spot-check inspections test only ~1% of production</w:t>
      </w:r>
      <w:r>
        <w:rPr>
          <w:rFonts w:hint="default" w:cs="Arial"/>
          <w:b w:val="0"/>
          <w:bCs w:val="0"/>
          <w:color w:val="2C3E50"/>
          <w:sz w:val="22"/>
          <w:szCs w:val="22"/>
          <w:lang w:val="en-US"/>
        </w:rPr>
        <w:t>,</w:t>
      </w:r>
      <w:r>
        <w:rPr>
          <w:rFonts w:ascii="Arial" w:hAnsi="Arial" w:eastAsia="Arial" w:cs="Arial"/>
          <w:b w:val="0"/>
          <w:bCs w:val="0"/>
          <w:color w:val="2C3E50"/>
          <w:sz w:val="22"/>
          <w:szCs w:val="22"/>
        </w:rPr>
        <w:t xml:space="preserve"> 99% of parts go uninspected for microscopic defects</w:t>
      </w:r>
    </w:p>
    <w:p w14:paraId="2072546D">
      <w:pPr>
        <w:spacing w:before="200" w:after="80"/>
      </w:pPr>
      <w:r>
        <w:rPr>
          <w:rFonts w:ascii="Arial" w:hAnsi="Arial" w:eastAsia="Arial" w:cs="Arial"/>
          <w:b/>
          <w:bCs/>
          <w:color w:val="2C3E50"/>
          <w:sz w:val="24"/>
          <w:szCs w:val="24"/>
        </w:rPr>
        <w:t>Electronics &amp; ECU Complexity (Critical for Infineon Portfolio)</w:t>
      </w:r>
    </w:p>
    <w:p w14:paraId="4627F74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color w:val="E74C3C"/>
          <w:sz w:val="22"/>
          <w:szCs w:val="22"/>
        </w:rPr>
        <w:t>Growing complexity and cost of on-board electronics</w:t>
      </w:r>
      <w:r>
        <w:rPr>
          <w:rFonts w:hint="default" w:cs="Arial"/>
          <w:b/>
          <w:bCs/>
          <w:color w:val="E74C3C"/>
          <w:sz w:val="22"/>
          <w:szCs w:val="22"/>
          <w:lang w:val="en-US"/>
        </w:rPr>
        <w:t>,</w:t>
      </w:r>
      <w:r>
        <w:rPr>
          <w:rFonts w:ascii="Arial" w:hAnsi="Arial" w:eastAsia="Arial" w:cs="Arial"/>
          <w:b/>
          <w:bCs/>
          <w:color w:val="E74C3C"/>
          <w:sz w:val="22"/>
          <w:szCs w:val="22"/>
        </w:rPr>
        <w:t xml:space="preserve"> ECUs involve 8.2% of incidents but 11.2% of QA costs [1]</w:t>
      </w:r>
    </w:p>
    <w:p w14:paraId="1AE7BBC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C3E50"/>
          <w:sz w:val="22"/>
          <w:szCs w:val="22"/>
        </w:rPr>
        <w:t>Increasingly sophisticated diagnostic and reflashing capabilities required for electronic systems</w:t>
      </w:r>
    </w:p>
    <w:p w14:paraId="60AF369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C3E50"/>
          <w:sz w:val="22"/>
          <w:szCs w:val="22"/>
        </w:rPr>
        <w:t>Software-defined vehicles expanding the attack surface for defects: millions of lines of code per vehicle</w:t>
      </w:r>
    </w:p>
    <w:p w14:paraId="01302B76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color w:val="E74C3C"/>
          <w:sz w:val="22"/>
          <w:szCs w:val="22"/>
        </w:rPr>
        <w:t>46% of all 2024 recalls were software/electronics-relate</w:t>
      </w:r>
      <w:r>
        <w:rPr>
          <w:rFonts w:hint="default" w:cs="Arial"/>
          <w:b/>
          <w:bCs/>
          <w:color w:val="E74C3C"/>
          <w:sz w:val="22"/>
          <w:szCs w:val="22"/>
          <w:lang w:val="en-US"/>
        </w:rPr>
        <w:t xml:space="preserve">, </w:t>
      </w:r>
      <w:r>
        <w:rPr>
          <w:rFonts w:ascii="Arial" w:hAnsi="Arial" w:eastAsia="Arial" w:cs="Arial"/>
          <w:b/>
          <w:bCs/>
          <w:color w:val="E74C3C"/>
          <w:sz w:val="22"/>
          <w:szCs w:val="22"/>
        </w:rPr>
        <w:t xml:space="preserve"> the fastest-growing defect category [2]</w:t>
      </w:r>
    </w:p>
    <w:p w14:paraId="50F00FB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C3E50"/>
          <w:sz w:val="22"/>
          <w:szCs w:val="22"/>
        </w:rPr>
        <w:t>Legacy OEMs cannot match Tesla's OTA-first approach</w:t>
      </w:r>
      <w:r>
        <w:rPr>
          <w:rFonts w:hint="default" w:cs="Arial"/>
          <w:b w:val="0"/>
          <w:bCs w:val="0"/>
          <w:color w:val="2C3E50"/>
          <w:sz w:val="22"/>
          <w:szCs w:val="22"/>
          <w:lang w:val="en-US"/>
        </w:rPr>
        <w:t xml:space="preserve">, </w:t>
      </w:r>
      <w:r>
        <w:rPr>
          <w:rFonts w:ascii="Arial" w:hAnsi="Arial" w:eastAsia="Arial" w:cs="Arial"/>
          <w:b w:val="0"/>
          <w:bCs w:val="0"/>
          <w:color w:val="2C3E50"/>
          <w:sz w:val="22"/>
          <w:szCs w:val="22"/>
        </w:rPr>
        <w:t>physical recalls remain the norm</w:t>
      </w:r>
    </w:p>
    <w:p w14:paraId="39EE3EB1">
      <w:pPr>
        <w:spacing w:before="200" w:after="80"/>
      </w:pPr>
      <w:r>
        <w:rPr>
          <w:rFonts w:ascii="Arial" w:hAnsi="Arial" w:eastAsia="Arial" w:cs="Arial"/>
          <w:b/>
          <w:bCs/>
          <w:color w:val="2C3E50"/>
          <w:sz w:val="24"/>
          <w:szCs w:val="24"/>
        </w:rPr>
        <w:t>Cost &amp; Compliance Pressure</w:t>
      </w:r>
    </w:p>
    <w:p w14:paraId="6C494B6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C3E50"/>
          <w:sz w:val="22"/>
          <w:szCs w:val="22"/>
        </w:rPr>
        <w:t>Non-quality costs driven by defects and compliance risks are accelerating, not declining</w:t>
      </w:r>
    </w:p>
    <w:p w14:paraId="67977E9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C3E50"/>
          <w:sz w:val="22"/>
          <w:szCs w:val="22"/>
        </w:rPr>
        <w:t>German OEM warranty costs are the highest globall</w:t>
      </w:r>
      <w:r>
        <w:rPr>
          <w:rFonts w:hint="default" w:cs="Arial"/>
          <w:b w:val="0"/>
          <w:bCs w:val="0"/>
          <w:color w:val="2C3E50"/>
          <w:sz w:val="22"/>
          <w:szCs w:val="22"/>
          <w:lang w:val="en-US"/>
        </w:rPr>
        <w:t>,</w:t>
      </w:r>
      <w:r>
        <w:rPr>
          <w:rFonts w:ascii="Arial" w:hAnsi="Arial" w:eastAsia="Arial" w:cs="Arial"/>
          <w:b w:val="0"/>
          <w:bCs w:val="0"/>
          <w:color w:val="2C3E50"/>
          <w:sz w:val="22"/>
          <w:szCs w:val="22"/>
        </w:rPr>
        <w:t xml:space="preserve"> structural issue compounded by labor costs and consumer protection law [7]</w:t>
      </w:r>
    </w:p>
    <w:p w14:paraId="06B605B3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C3E50"/>
          <w:sz w:val="22"/>
          <w:szCs w:val="22"/>
        </w:rPr>
        <w:t>Global automotive warranty claims grew 17% from 2022 to 2023 alone [6]</w:t>
      </w:r>
    </w:p>
    <w:p w14:paraId="24E2815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C3E50"/>
          <w:sz w:val="22"/>
          <w:szCs w:val="22"/>
        </w:rPr>
        <w:t>Traditional quality checks remain necessary but are insufficient without AI augmentation</w:t>
      </w:r>
    </w:p>
    <w:p w14:paraId="3977D94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C3E50"/>
          <w:sz w:val="22"/>
          <w:szCs w:val="22"/>
        </w:rPr>
        <w:t>Predictive maintenance ROI payback: 12–24 months</w:t>
      </w:r>
      <w:r>
        <w:rPr>
          <w:rFonts w:hint="default" w:cs="Arial"/>
          <w:b w:val="0"/>
          <w:bCs w:val="0"/>
          <w:color w:val="2C3E50"/>
          <w:sz w:val="22"/>
          <w:szCs w:val="22"/>
          <w:lang w:val="en-US"/>
        </w:rPr>
        <w:t xml:space="preserve">, </w:t>
      </w:r>
      <w:r>
        <w:rPr>
          <w:rFonts w:ascii="Arial" w:hAnsi="Arial" w:eastAsia="Arial" w:cs="Arial"/>
          <w:b w:val="0"/>
          <w:bCs w:val="0"/>
          <w:color w:val="2C3E50"/>
          <w:sz w:val="22"/>
          <w:szCs w:val="22"/>
        </w:rPr>
        <w:t>longer than preventive (6–12 months) but 2–3x the cost reduction [8]</w:t>
      </w:r>
    </w:p>
    <w:p w14:paraId="13812A80">
      <w:pPr>
        <w:spacing w:before="200" w:after="80"/>
      </w:pPr>
      <w:r>
        <w:rPr>
          <w:rFonts w:ascii="Arial" w:hAnsi="Arial" w:eastAsia="Arial" w:cs="Arial"/>
          <w:b/>
          <w:bCs/>
          <w:color w:val="2C3E50"/>
          <w:sz w:val="24"/>
          <w:szCs w:val="24"/>
        </w:rPr>
        <w:t>AI Adoption Barriers</w:t>
      </w:r>
    </w:p>
    <w:p w14:paraId="1E31FC3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C3E50"/>
          <w:sz w:val="22"/>
          <w:szCs w:val="22"/>
        </w:rPr>
        <w:t>AI seen as strategic lever but adoption stalled by 'black box' distrust among plant managers</w:t>
      </w:r>
    </w:p>
    <w:p w14:paraId="1342553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C3E50"/>
          <w:sz w:val="22"/>
          <w:szCs w:val="22"/>
        </w:rPr>
        <w:t>Data quality issues: missing sensor readings, wrong timestamps, legacy systems from 1990s</w:t>
      </w:r>
    </w:p>
    <w:p w14:paraId="728FE658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C3E50"/>
          <w:sz w:val="22"/>
          <w:szCs w:val="22"/>
        </w:rPr>
        <w:t>IT/OT integration is a major obstacle</w:t>
      </w:r>
      <w:r>
        <w:rPr>
          <w:rFonts w:hint="default" w:cs="Arial"/>
          <w:b w:val="0"/>
          <w:bCs w:val="0"/>
          <w:color w:val="2C3E50"/>
          <w:sz w:val="22"/>
          <w:szCs w:val="22"/>
          <w:lang w:val="en-US"/>
        </w:rPr>
        <w:t>,</w:t>
      </w:r>
      <w:r>
        <w:rPr>
          <w:rFonts w:ascii="Arial" w:hAnsi="Arial" w:eastAsia="Arial" w:cs="Arial"/>
          <w:b w:val="0"/>
          <w:bCs w:val="0"/>
          <w:color w:val="2C3E50"/>
          <w:sz w:val="22"/>
          <w:szCs w:val="22"/>
        </w:rPr>
        <w:t xml:space="preserve"> factory floor systems and cloud systems don't talk to each other</w:t>
      </w:r>
    </w:p>
    <w:p w14:paraId="0B5D9D7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C3E50"/>
          <w:sz w:val="22"/>
          <w:szCs w:val="22"/>
        </w:rPr>
        <w:t>Workforce demographics: average quality inspector age is 55–60 (Germany), resistant to UI complexity</w:t>
      </w:r>
    </w:p>
    <w:p w14:paraId="6B0C0EF4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C3E50"/>
          <w:sz w:val="22"/>
          <w:szCs w:val="22"/>
        </w:rPr>
        <w:t>Board-level approval requires €€€ proof before pilots, but pilots are needed to generate €€€ proof</w:t>
      </w:r>
      <w:r>
        <w:rPr>
          <w:rFonts w:hint="default" w:cs="Arial"/>
          <w:b w:val="0"/>
          <w:bCs w:val="0"/>
          <w:color w:val="2C3E50"/>
          <w:sz w:val="22"/>
          <w:szCs w:val="22"/>
          <w:lang w:val="en-US"/>
        </w:rPr>
        <w:t>,</w:t>
      </w:r>
      <w:r>
        <w:rPr>
          <w:rFonts w:ascii="Arial" w:hAnsi="Arial" w:eastAsia="Arial" w:cs="Arial"/>
          <w:b w:val="0"/>
          <w:bCs w:val="0"/>
          <w:color w:val="2C3E50"/>
          <w:sz w:val="22"/>
          <w:szCs w:val="22"/>
        </w:rPr>
        <w:t xml:space="preserve"> a chicken-and-egg problem our ROI calculator breaks</w:t>
      </w:r>
    </w:p>
    <w:p w14:paraId="520C0635">
      <w:pPr>
        <w:spacing w:before="80" w:after="0"/>
      </w:pPr>
    </w:p>
    <w:p w14:paraId="642A6C2C">
      <w:pPr>
        <w:pStyle w:val="3"/>
        <w:pBdr>
          <w:bottom w:val="single" w:color="1B4F8A" w:sz="4" w:space="4"/>
        </w:pBdr>
        <w:spacing w:before="280" w:after="120"/>
      </w:pPr>
      <w:r>
        <w:rPr>
          <w:rFonts w:ascii="Arial" w:hAnsi="Arial" w:eastAsia="Arial" w:cs="Arial"/>
          <w:b/>
          <w:bCs/>
          <w:color w:val="2C3E50"/>
          <w:sz w:val="28"/>
          <w:szCs w:val="28"/>
        </w:rPr>
        <w:t>3.2  The Core Problem Statement (For PRD)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FED0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B4F8A" w:sz="8" w:space="0"/>
              <w:left w:val="single" w:color="1B4F8A" w:sz="8" w:space="0"/>
              <w:bottom w:val="single" w:color="1B4F8A" w:sz="8" w:space="0"/>
              <w:right w:val="single" w:color="1B4F8A" w:sz="8" w:space="0"/>
            </w:tcBorders>
            <w:shd w:val="clear" w:color="auto" w:fill="EAF4FB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5C1DA274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1B4F8A"/>
                <w:sz w:val="26"/>
                <w:szCs w:val="26"/>
              </w:rPr>
              <w:t>Problem Statement</w:t>
            </w:r>
          </w:p>
          <w:p w14:paraId="58682BCE">
            <w:pPr>
              <w:spacing w:before="0" w:after="80"/>
            </w:pPr>
            <w:r>
              <w:rPr>
                <w:rFonts w:ascii="Arial" w:hAnsi="Arial" w:eastAsia="Arial" w:cs="Arial"/>
                <w:color w:val="2C3E50"/>
                <w:sz w:val="22"/>
                <w:szCs w:val="22"/>
              </w:rPr>
              <w:t>Quality defects in automotive manufacturing impose a structural, multi-billion euro cost burden across the German industry</w:t>
            </w:r>
            <w:r>
              <w:rPr>
                <w:rFonts w:hint="default" w:cs="Arial"/>
                <w:color w:val="2C3E50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Arial" w:hAnsi="Arial" w:eastAsia="Arial" w:cs="Arial"/>
                <w:color w:val="2C3E50"/>
                <w:sz w:val="22"/>
                <w:szCs w:val="22"/>
              </w:rPr>
              <w:t>through scrap, rework, warranty claims, and recalls</w:t>
            </w:r>
            <w:r>
              <w:rPr>
                <w:rFonts w:hint="default" w:cs="Arial"/>
                <w:color w:val="2C3E50"/>
                <w:sz w:val="22"/>
                <w:szCs w:val="22"/>
                <w:lang w:val="en-US"/>
              </w:rPr>
              <w:t xml:space="preserve">, </w:t>
            </w:r>
            <w:r>
              <w:rPr>
                <w:rFonts w:ascii="Arial" w:hAnsi="Arial" w:eastAsia="Arial" w:cs="Arial"/>
                <w:color w:val="2C3E50"/>
                <w:sz w:val="22"/>
                <w:szCs w:val="22"/>
              </w:rPr>
              <w:t>driven by a reactive detection model that consistently finds problems too late, at the wrong stage, and with insufficient root-cause intelligence to prevent recurrence.</w:t>
            </w:r>
          </w:p>
          <w:p w14:paraId="6980C7EB">
            <w:pPr>
              <w:spacing w:before="80" w:after="40"/>
            </w:pPr>
            <w:r>
              <w:rPr>
                <w:rFonts w:ascii="Arial" w:hAnsi="Arial" w:eastAsia="Arial" w:cs="Arial"/>
                <w:b/>
                <w:bCs/>
                <w:color w:val="2C3E50"/>
                <w:sz w:val="22"/>
                <w:szCs w:val="22"/>
              </w:rPr>
              <w:t>Evidence:</w:t>
            </w:r>
          </w:p>
          <w:p w14:paraId="60FFA0D9">
            <w:pPr>
              <w:spacing w:before="20" w:after="20"/>
            </w:pPr>
            <w:r>
              <w:rPr>
                <w:rFonts w:ascii="Arial" w:hAnsi="Arial" w:eastAsia="Arial" w:cs="Arial"/>
                <w:color w:val="566573"/>
                <w:sz w:val="20"/>
                <w:szCs w:val="20"/>
              </w:rPr>
              <w:t>• Defect rates: 2.1–4.4% across automotive parts  •  Recalls up 7%  •  Warranty costs = 2.5% of OEM revenue  •  ECU defects cost 37% more than their incidence rate suggests</w:t>
            </w:r>
          </w:p>
          <w:p w14:paraId="5A2D2760">
            <w:pPr>
              <w:spacing w:before="80" w:after="0"/>
            </w:pPr>
            <w:r>
              <w:rPr>
                <w:rFonts w:ascii="Arial" w:hAnsi="Arial" w:eastAsia="Arial" w:cs="Arial"/>
                <w:b/>
                <w:bCs/>
                <w:color w:val="1E8449"/>
                <w:sz w:val="22"/>
                <w:szCs w:val="22"/>
              </w:rPr>
              <w:t xml:space="preserve">Opportunity: </w:t>
            </w:r>
            <w:r>
              <w:rPr>
                <w:rFonts w:ascii="Arial" w:hAnsi="Arial" w:eastAsia="Arial" w:cs="Arial"/>
                <w:color w:val="2C3E50"/>
                <w:sz w:val="22"/>
                <w:szCs w:val="22"/>
              </w:rPr>
              <w:t>AI-powered real-time prediction reduces defects by 20–30%, achieving €2M+ annual savings per facility with a sub-3-month payback.</w:t>
            </w:r>
          </w:p>
        </w:tc>
      </w:tr>
    </w:tbl>
    <w:p w14:paraId="69B8B006">
      <w:pPr>
        <w:pBdr>
          <w:bottom w:val="single" w:color="CCCCCC" w:sz="2" w:space="1"/>
        </w:pBdr>
        <w:spacing w:before="160" w:after="160"/>
      </w:pPr>
    </w:p>
    <w:p w14:paraId="187BD2EC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B4F8A"/>
          <w:sz w:val="36"/>
          <w:szCs w:val="36"/>
        </w:rPr>
        <w:t>04  References</w:t>
      </w:r>
    </w:p>
    <w:p w14:paraId="3B66CE23">
      <w:pPr>
        <w:spacing w:before="60" w:after="60"/>
      </w:pPr>
      <w:r>
        <w:rPr>
          <w:rFonts w:ascii="Arial" w:hAnsi="Arial" w:eastAsia="Arial" w:cs="Arial"/>
          <w:color w:val="2C3E50"/>
          <w:sz w:val="22"/>
          <w:szCs w:val="22"/>
        </w:rPr>
        <w:t>All statistics used in this research document are sourced from the following references. Copy the URLs directly into your browser — all are publicly accessible.</w:t>
      </w:r>
    </w:p>
    <w:p w14:paraId="17C24934">
      <w:pPr>
        <w:spacing w:before="80" w:after="8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96"/>
        <w:gridCol w:w="4071"/>
        <w:gridCol w:w="4693"/>
      </w:tblGrid>
      <w:tr w14:paraId="75372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1B4F8A" w:sz="0" w:space="0"/>
              <w:left w:val="single" w:color="1B4F8A" w:sz="0" w:space="0"/>
              <w:bottom w:val="single" w:color="1B4F8A" w:sz="0" w:space="0"/>
              <w:right w:val="single" w:color="1B4F8A" w:sz="0" w:space="0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82721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Ref</w:t>
            </w:r>
          </w:p>
        </w:tc>
        <w:tc>
          <w:tcPr>
            <w:tcW w:w="5400" w:type="dxa"/>
            <w:tcBorders>
              <w:top w:val="single" w:color="1B4F8A" w:sz="0" w:space="0"/>
              <w:left w:val="single" w:color="1B4F8A" w:sz="0" w:space="0"/>
              <w:bottom w:val="single" w:color="1B4F8A" w:sz="0" w:space="0"/>
              <w:right w:val="single" w:color="1B4F8A" w:sz="0" w:space="0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E7AEA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Citation / Description</w:t>
            </w:r>
          </w:p>
        </w:tc>
        <w:tc>
          <w:tcPr>
            <w:tcW w:w="3400" w:type="dxa"/>
            <w:tcBorders>
              <w:top w:val="single" w:color="1B4F8A" w:sz="0" w:space="0"/>
              <w:left w:val="single" w:color="1B4F8A" w:sz="0" w:space="0"/>
              <w:bottom w:val="single" w:color="1B4F8A" w:sz="0" w:space="0"/>
              <w:right w:val="single" w:color="1B4F8A" w:sz="0" w:space="0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1D362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Source URL</w:t>
            </w:r>
          </w:p>
        </w:tc>
      </w:tr>
      <w:tr w14:paraId="24BA3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0BDE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4F8A"/>
                <w:sz w:val="20"/>
                <w:szCs w:val="20"/>
              </w:rPr>
              <w:t>[1]</w:t>
            </w:r>
          </w:p>
        </w:tc>
        <w:tc>
          <w:tcPr>
            <w:tcW w:w="5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6A280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TRIGO Group</w:t>
            </w:r>
            <w:r>
              <w:rPr>
                <w:rFonts w:hint="default" w:cs="Arial"/>
                <w:color w:val="2C3E50"/>
                <w:sz w:val="20"/>
                <w:szCs w:val="20"/>
                <w:lang w:val="en-US"/>
              </w:rPr>
              <w:t>,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 Breakdown of Quality Issues per Vehicle System (Exterior 27.2%, Interior 23.0%, Assembly 13.6%, ECU 8.2% / 11.2% QA costs)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B1BC2">
            <w:r>
              <w:rPr>
                <w:rFonts w:ascii="Arial" w:hAnsi="Arial" w:eastAsia="Arial" w:cs="Arial"/>
                <w:i/>
                <w:iCs/>
                <w:color w:val="1B4F8A"/>
                <w:sz w:val="18"/>
                <w:szCs w:val="18"/>
              </w:rPr>
              <w:t>www.trigogroup.com</w:t>
            </w:r>
          </w:p>
        </w:tc>
      </w:tr>
      <w:tr w14:paraId="6B29F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186B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4F8A"/>
                <w:sz w:val="20"/>
                <w:szCs w:val="20"/>
              </w:rPr>
              <w:t>[2]</w:t>
            </w:r>
          </w:p>
        </w:tc>
        <w:tc>
          <w:tcPr>
            <w:tcW w:w="5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81DB5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SDV Insider</w:t>
            </w:r>
            <w:r>
              <w:rPr>
                <w:rFonts w:hint="default" w:cs="Arial"/>
                <w:color w:val="2C3E50"/>
                <w:sz w:val="20"/>
                <w:szCs w:val="20"/>
                <w:lang w:val="en-US"/>
              </w:rPr>
              <w:t>,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 Automotive's Hidden Software Crisis: 2024 Recall Trends (Total recalls +7%, software recalls +35%, 13.4M vehicles affected)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27C0D">
            <w:r>
              <w:rPr>
                <w:rFonts w:ascii="Arial" w:hAnsi="Arial" w:eastAsia="Arial" w:cs="Arial"/>
                <w:i/>
                <w:iCs/>
                <w:color w:val="1B4F8A"/>
                <w:sz w:val="18"/>
                <w:szCs w:val="18"/>
              </w:rPr>
              <w:t>www.sdvinsider.com/p/the-hidden-automotive-software-crisis</w:t>
            </w:r>
          </w:p>
        </w:tc>
      </w:tr>
      <w:tr w14:paraId="459A5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E663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4F8A"/>
                <w:sz w:val="20"/>
                <w:szCs w:val="20"/>
              </w:rPr>
              <w:t>[3]</w:t>
            </w:r>
          </w:p>
        </w:tc>
        <w:tc>
          <w:tcPr>
            <w:tcW w:w="5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8A199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BizzyCar</w:t>
            </w:r>
            <w:r>
              <w:rPr>
                <w:rFonts w:hint="default" w:cs="Arial"/>
                <w:color w:val="2C3E50"/>
                <w:sz w:val="20"/>
                <w:szCs w:val="20"/>
                <w:lang w:val="en-US"/>
              </w:rPr>
              <w:t>,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 Automotive Recall Alert: 27.7M Vehicles Affected in 2024 (1 in 4 US vehicles has open recall, 6.3M recalled in Q4 alone)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8886E">
            <w:r>
              <w:rPr>
                <w:rFonts w:ascii="Arial" w:hAnsi="Arial" w:eastAsia="Arial" w:cs="Arial"/>
                <w:i/>
                <w:iCs/>
                <w:color w:val="1B4F8A"/>
                <w:sz w:val="18"/>
                <w:szCs w:val="18"/>
              </w:rPr>
              <w:t>blog.bizzycar.com/automotive-recall-alert-27.3-million-vehicles-affected-in-2024</w:t>
            </w:r>
          </w:p>
        </w:tc>
      </w:tr>
      <w:tr w14:paraId="01CF4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F949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4F8A"/>
                <w:sz w:val="20"/>
                <w:szCs w:val="20"/>
              </w:rPr>
              <w:t>[4]</w:t>
            </w:r>
          </w:p>
        </w:tc>
        <w:tc>
          <w:tcPr>
            <w:tcW w:w="5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10AE6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Recall Masters</w:t>
            </w:r>
            <w:r>
              <w:rPr>
                <w:rFonts w:hint="default" w:cs="Arial"/>
                <w:color w:val="2C3E5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State of Recalls 2024 (505 high-risk campaigns, 174 campaigns linked to software/electronics, 13.8M vehicles)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3CD43">
            <w:r>
              <w:rPr>
                <w:rFonts w:ascii="Arial" w:hAnsi="Arial" w:eastAsia="Arial" w:cs="Arial"/>
                <w:i/>
                <w:iCs/>
                <w:color w:val="1B4F8A"/>
                <w:sz w:val="18"/>
                <w:szCs w:val="18"/>
              </w:rPr>
              <w:t>www.recallmasters.com/sor</w:t>
            </w:r>
          </w:p>
        </w:tc>
      </w:tr>
      <w:tr w14:paraId="21D1C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7809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4F8A"/>
                <w:sz w:val="20"/>
                <w:szCs w:val="20"/>
              </w:rPr>
              <w:t>[5]</w:t>
            </w:r>
          </w:p>
        </w:tc>
        <w:tc>
          <w:tcPr>
            <w:tcW w:w="5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5892B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Altair Future Says Podcast</w:t>
            </w:r>
            <w:r>
              <w:rPr>
                <w:rFonts w:hint="default" w:cs="Arial"/>
                <w:color w:val="2C3E5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Automotive Warranty Claims (2.5% of OEM revenue, $9B US small vehicle claims in 2022)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8018C">
            <w:r>
              <w:rPr>
                <w:rFonts w:ascii="Arial" w:hAnsi="Arial" w:eastAsia="Arial" w:cs="Arial"/>
                <w:i/>
                <w:iCs/>
                <w:color w:val="1B4F8A"/>
                <w:sz w:val="18"/>
                <w:szCs w:val="18"/>
              </w:rPr>
              <w:t>altair.com/blog/articles/future-says-s4e7-diving-into-the-world-of-automotive-warranty-claims</w:t>
            </w:r>
          </w:p>
        </w:tc>
      </w:tr>
      <w:tr w14:paraId="35C32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94BB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4F8A"/>
                <w:sz w:val="20"/>
                <w:szCs w:val="20"/>
              </w:rPr>
              <w:t>[6]</w:t>
            </w:r>
          </w:p>
        </w:tc>
        <w:tc>
          <w:tcPr>
            <w:tcW w:w="5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8E42D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Warranty Week</w:t>
            </w:r>
            <w:r>
              <w:rPr>
                <w:rFonts w:hint="default" w:cs="Arial"/>
                <w:color w:val="2C3E50"/>
                <w:sz w:val="20"/>
                <w:szCs w:val="20"/>
                <w:lang w:val="en-US"/>
              </w:rPr>
              <w:t>,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 Worldwide Auto Warranty Report 2024 (17% claims growth, VW $30B reserves, global $139B industry reserves)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0D78D">
            <w:r>
              <w:rPr>
                <w:rFonts w:ascii="Arial" w:hAnsi="Arial" w:eastAsia="Arial" w:cs="Arial"/>
                <w:i/>
                <w:iCs/>
                <w:color w:val="1B4F8A"/>
                <w:sz w:val="18"/>
                <w:szCs w:val="18"/>
              </w:rPr>
              <w:t>www.warrantyweek.com/archive/ww20241003.html</w:t>
            </w:r>
          </w:p>
        </w:tc>
      </w:tr>
      <w:tr w14:paraId="18B74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8899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4F8A"/>
                <w:sz w:val="20"/>
                <w:szCs w:val="20"/>
              </w:rPr>
              <w:t>[7]</w:t>
            </w:r>
          </w:p>
        </w:tc>
        <w:tc>
          <w:tcPr>
            <w:tcW w:w="5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0F41B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Warranty Week</w:t>
            </w:r>
            <w:r>
              <w:rPr>
                <w:rFonts w:hint="default" w:cs="Arial"/>
                <w:color w:val="2C3E50"/>
                <w:sz w:val="20"/>
                <w:szCs w:val="20"/>
                <w:lang w:val="en-US"/>
              </w:rPr>
              <w:t>,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 U.S. &amp; German Auto Warranties (German OEM warranty costs highest globally for 10+ consecutive years)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74FA2">
            <w:r>
              <w:rPr>
                <w:rFonts w:ascii="Arial" w:hAnsi="Arial" w:eastAsia="Arial" w:cs="Arial"/>
                <w:i/>
                <w:iCs/>
                <w:color w:val="1B4F8A"/>
                <w:sz w:val="18"/>
                <w:szCs w:val="18"/>
              </w:rPr>
              <w:t>www.warrantyweek.com/archive/ww20181025.html</w:t>
            </w:r>
          </w:p>
        </w:tc>
      </w:tr>
      <w:tr w14:paraId="7DE77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C330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4F8A"/>
                <w:sz w:val="20"/>
                <w:szCs w:val="20"/>
              </w:rPr>
              <w:t>[8]</w:t>
            </w:r>
          </w:p>
        </w:tc>
        <w:tc>
          <w:tcPr>
            <w:tcW w:w="5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E7650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Logicline DE</w:t>
            </w:r>
            <w:r>
              <w:rPr>
                <w:rFonts w:hint="default" w:cs="Arial"/>
                <w:color w:val="2C3E5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Predictive Maintenance Cost &amp; Benefit Comparison (25-30% cost reduction, 70-75% downtime reduction, 20-40% life extension)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04D6D">
            <w:r>
              <w:rPr>
                <w:rFonts w:ascii="Arial" w:hAnsi="Arial" w:eastAsia="Arial" w:cs="Arial"/>
                <w:i/>
                <w:iCs/>
                <w:color w:val="1B4F8A"/>
                <w:sz w:val="18"/>
                <w:szCs w:val="18"/>
              </w:rPr>
              <w:t>www.logicline.de/en/predictive-maintenance-a-comparison-of-costs-and-benefits</w:t>
            </w:r>
          </w:p>
        </w:tc>
      </w:tr>
      <w:tr w14:paraId="28AAA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5DDE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4F8A"/>
                <w:sz w:val="20"/>
                <w:szCs w:val="20"/>
              </w:rPr>
              <w:t>[9]</w:t>
            </w:r>
          </w:p>
        </w:tc>
        <w:tc>
          <w:tcPr>
            <w:tcW w:w="5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1D9A1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IBM Maximo Asset Performance Management (6.3% maintenance cost reduction benchmark, real-time monitoring)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81BEF">
            <w:r>
              <w:rPr>
                <w:rFonts w:ascii="Arial" w:hAnsi="Arial" w:eastAsia="Arial" w:cs="Arial"/>
                <w:i/>
                <w:iCs/>
                <w:color w:val="1B4F8A"/>
                <w:sz w:val="18"/>
                <w:szCs w:val="18"/>
              </w:rPr>
              <w:t>www.ibm.com/products/maximo/asset-performance-management</w:t>
            </w:r>
          </w:p>
        </w:tc>
      </w:tr>
      <w:tr w14:paraId="459CE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05C6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4F8A"/>
                <w:sz w:val="20"/>
                <w:szCs w:val="20"/>
              </w:rPr>
              <w:t>[10]</w:t>
            </w:r>
          </w:p>
        </w:tc>
        <w:tc>
          <w:tcPr>
            <w:tcW w:w="5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E387C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Siemens MindSphere</w:t>
            </w:r>
            <w:r>
              <w:rPr>
                <w:rFonts w:hint="default" w:cs="Arial"/>
                <w:color w:val="2C3E50"/>
                <w:sz w:val="20"/>
                <w:szCs w:val="20"/>
                <w:lang w:val="en-US"/>
              </w:rPr>
              <w:t>,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 Industrial IoT Platform (Quality Insights, predictive analytics, enterprise tier)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F63AE">
            <w:r>
              <w:rPr>
                <w:rFonts w:ascii="Arial" w:hAnsi="Arial" w:eastAsia="Arial" w:cs="Arial"/>
                <w:i/>
                <w:iCs/>
                <w:color w:val="1B4F8A"/>
                <w:sz w:val="18"/>
                <w:szCs w:val="18"/>
              </w:rPr>
              <w:t>www.siemens.com/global/en/products/automation/topic-areas/industrial-edge/mindsphere.html</w:t>
            </w:r>
          </w:p>
        </w:tc>
      </w:tr>
      <w:tr w14:paraId="17E85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8B6D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4F8A"/>
                <w:sz w:val="20"/>
                <w:szCs w:val="20"/>
              </w:rPr>
              <w:t>[11]</w:t>
            </w:r>
          </w:p>
        </w:tc>
        <w:tc>
          <w:tcPr>
            <w:tcW w:w="5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B74F6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SAP Quality Management</w:t>
            </w:r>
            <w:r>
              <w:rPr>
                <w:rFonts w:hint="default" w:cs="Arial"/>
                <w:color w:val="2C3E50"/>
                <w:sz w:val="20"/>
                <w:szCs w:val="20"/>
                <w:lang w:val="en-US"/>
              </w:rPr>
              <w:t>,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 ERP-integrated quality tracking and compliance (native SAP integration)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8E773">
            <w:r>
              <w:rPr>
                <w:rFonts w:ascii="Arial" w:hAnsi="Arial" w:eastAsia="Arial" w:cs="Arial"/>
                <w:i/>
                <w:iCs/>
                <w:color w:val="1B4F8A"/>
                <w:sz w:val="18"/>
                <w:szCs w:val="18"/>
              </w:rPr>
              <w:t>www.sap.com/products/scm/quality-management.html</w:t>
            </w:r>
          </w:p>
        </w:tc>
      </w:tr>
      <w:tr w14:paraId="507D9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5236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4F8A"/>
                <w:sz w:val="20"/>
                <w:szCs w:val="20"/>
              </w:rPr>
              <w:t>[12]</w:t>
            </w:r>
          </w:p>
        </w:tc>
        <w:tc>
          <w:tcPr>
            <w:tcW w:w="5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03CD7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Bosch Nexeed</w:t>
            </w:r>
            <w:r>
              <w:rPr>
                <w:rFonts w:hint="default" w:cs="Arial"/>
                <w:color w:val="2C3E5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Manufacturing Intelligence Platform (real-time production monitoring, quality analytics)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5532C">
            <w:r>
              <w:rPr>
                <w:rFonts w:ascii="Arial" w:hAnsi="Arial" w:eastAsia="Arial" w:cs="Arial"/>
                <w:i/>
                <w:iCs/>
                <w:color w:val="1B4F8A"/>
                <w:sz w:val="18"/>
                <w:szCs w:val="18"/>
              </w:rPr>
              <w:t>www.bosch-connected-industry.com/en/nexeed</w:t>
            </w:r>
          </w:p>
        </w:tc>
      </w:tr>
      <w:tr w14:paraId="0E8DB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0FC6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4F8A"/>
                <w:sz w:val="20"/>
                <w:szCs w:val="20"/>
              </w:rPr>
              <w:t>[13]</w:t>
            </w:r>
          </w:p>
        </w:tc>
        <w:tc>
          <w:tcPr>
            <w:tcW w:w="5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D9745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GE Digital Predix</w:t>
            </w:r>
            <w:r>
              <w:rPr>
                <w:rFonts w:hint="default" w:cs="Arial"/>
                <w:color w:val="2C3E50"/>
                <w:sz w:val="20"/>
                <w:szCs w:val="20"/>
                <w:lang w:val="en-US"/>
              </w:rPr>
              <w:t>,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 Industrial IoT &amp; Predictive Analytics Platform (enterprise manufacturing)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0B8D0">
            <w:r>
              <w:rPr>
                <w:rFonts w:ascii="Arial" w:hAnsi="Arial" w:eastAsia="Arial" w:cs="Arial"/>
                <w:i/>
                <w:iCs/>
                <w:color w:val="1B4F8A"/>
                <w:sz w:val="18"/>
                <w:szCs w:val="18"/>
              </w:rPr>
              <w:t>www.ge.com/digital/applications/predix-platform</w:t>
            </w:r>
          </w:p>
        </w:tc>
      </w:tr>
    </w:tbl>
    <w:p w14:paraId="14C0A908"/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8F537B"/>
    <w:multiLevelType w:val="singleLevel"/>
    <w:tmpl w:val="2A8F537B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F253EA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60"/>
      <w:outlineLvl w:val="0"/>
    </w:pPr>
    <w:rPr>
      <w:rFonts w:ascii="Arial" w:hAnsi="Arial" w:eastAsia="Arial" w:cs="Arial"/>
      <w:b/>
      <w:bCs/>
      <w:color w:val="1B4F8A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20"/>
      <w:outlineLvl w:val="1"/>
    </w:pPr>
    <w:rPr>
      <w:rFonts w:ascii="Arial" w:hAnsi="Arial" w:eastAsia="Arial" w:cs="Arial"/>
      <w:b/>
      <w:bCs/>
      <w:color w:val="2C3E50"/>
      <w:sz w:val="28"/>
      <w:szCs w:val="28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paragraph" w:styleId="11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4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5">
    <w:name w:val="Foot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11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2026-02-17T11:27:00Z</dcterms:created>
  <dc:creator>Un-named</dc:creator>
  <cp:lastModifiedBy>Pallav Undhad</cp:lastModifiedBy>
  <dcterms:modified xsi:type="dcterms:W3CDTF">2026-03-13T00:01:28Z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CD9A2E4FBF354E9A840F1033E51E0189_12</vt:lpwstr>
  </property>
</Properties>
</file>