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BB01" w14:textId="77777777" w:rsidR="00036842" w:rsidRPr="00036842" w:rsidRDefault="00036842" w:rsidP="00036842">
      <w:r w:rsidRPr="00036842">
        <w:t>Summary</w:t>
      </w:r>
    </w:p>
    <w:p w14:paraId="481BC398" w14:textId="77777777" w:rsidR="00036842" w:rsidRPr="00036842" w:rsidRDefault="00036842" w:rsidP="00036842"/>
    <w:p w14:paraId="6C2B7AD4" w14:textId="77777777" w:rsidR="00036842" w:rsidRPr="00036842" w:rsidRDefault="00036842" w:rsidP="00036842">
      <w:r w:rsidRPr="00036842">
        <w:t>The document is a product proposal called "Trade &amp; Position GPT" (TP-GPT) — a domain-specific AI system for a bank's capital markets division. It's not just one agent; it's an entire multi-agent operating model that spans every function of a trading floor:</w:t>
      </w:r>
    </w:p>
    <w:p w14:paraId="5B140456" w14:textId="77777777" w:rsidR="00036842" w:rsidRPr="00036842" w:rsidRDefault="00036842" w:rsidP="00036842"/>
    <w:p w14:paraId="29F731AF" w14:textId="77777777" w:rsidR="00036842" w:rsidRPr="00036842" w:rsidRDefault="00036842" w:rsidP="00036842">
      <w:r w:rsidRPr="00036842">
        <w:t>What it proposes: A natural language interface to a bank's trading, positions, risk, and P&amp;L data. Instead of navigating fragmented legacy systems, anyone — traders, salespeople, operations, settlement, risk — can ask questions in plain English and get answers from their data.</w:t>
      </w:r>
    </w:p>
    <w:p w14:paraId="0B39C345" w14:textId="77777777" w:rsidR="00036842" w:rsidRPr="00036842" w:rsidRDefault="00036842" w:rsidP="00036842"/>
    <w:p w14:paraId="4204E67D" w14:textId="77777777" w:rsidR="00036842" w:rsidRPr="00036842" w:rsidRDefault="00036842" w:rsidP="00036842">
      <w:r w:rsidRPr="00036842">
        <w:t>The agents it defines:</w:t>
      </w:r>
    </w:p>
    <w:p w14:paraId="510B1AA2" w14:textId="77777777" w:rsidR="00036842" w:rsidRPr="00036842" w:rsidRDefault="00036842" w:rsidP="00036842"/>
    <w:p w14:paraId="32098ECC" w14:textId="77777777" w:rsidR="00036842" w:rsidRPr="00036842" w:rsidRDefault="00036842" w:rsidP="00036842">
      <w:r w:rsidRPr="00036842">
        <w:t>Trade Agent — monitors bookings, detects anomalies, initiates reconciliation</w:t>
      </w:r>
    </w:p>
    <w:p w14:paraId="33B7E8B3" w14:textId="77777777" w:rsidR="00036842" w:rsidRPr="00036842" w:rsidRDefault="00036842" w:rsidP="00036842">
      <w:r w:rsidRPr="00036842">
        <w:t>Pricing Agent(s) — connects to pricing engines, analyzes discrepancies, can even suggest hedges</w:t>
      </w:r>
    </w:p>
    <w:p w14:paraId="3166E489" w14:textId="77777777" w:rsidR="00036842" w:rsidRPr="00036842" w:rsidRDefault="00036842" w:rsidP="00036842">
      <w:r w:rsidRPr="00036842">
        <w:t>Position Agent — unifies inventory across business lines, predicts imbalances, alerts on concentration risk</w:t>
      </w:r>
    </w:p>
    <w:p w14:paraId="535A1683" w14:textId="77777777" w:rsidR="00036842" w:rsidRPr="00036842" w:rsidRDefault="00036842" w:rsidP="00036842">
      <w:r w:rsidRPr="00036842">
        <w:t>Sales Agent — customer tiering, profitability analysis, time management</w:t>
      </w:r>
    </w:p>
    <w:p w14:paraId="421E8904" w14:textId="77777777" w:rsidR="00036842" w:rsidRPr="00036842" w:rsidRDefault="00036842" w:rsidP="00036842">
      <w:r w:rsidRPr="00036842">
        <w:t>Operations Agent — exception management, matching, reconciliation insights</w:t>
      </w:r>
    </w:p>
    <w:p w14:paraId="287B27BC" w14:textId="77777777" w:rsidR="00036842" w:rsidRPr="00036842" w:rsidRDefault="00036842" w:rsidP="00036842">
      <w:r w:rsidRPr="00036842">
        <w:t>Settlement/Regulatory Agent — TRACE reporting, DTCC exceptions, settlement fails</w:t>
      </w:r>
    </w:p>
    <w:p w14:paraId="17B02380" w14:textId="77777777" w:rsidR="00036842" w:rsidRPr="00036842" w:rsidRDefault="00036842" w:rsidP="00036842">
      <w:r w:rsidRPr="00036842">
        <w:t>Risk/Controls Agent — enforces policies, credit checks, compliance</w:t>
      </w:r>
    </w:p>
    <w:p w14:paraId="5B4EB4EC" w14:textId="77777777" w:rsidR="00036842" w:rsidRPr="00036842" w:rsidRDefault="00036842" w:rsidP="00036842">
      <w:r w:rsidRPr="00036842">
        <w:t>Critique Agent — feedback loop attached to every other agent</w:t>
      </w:r>
    </w:p>
    <w:p w14:paraId="757FB040" w14:textId="77777777" w:rsidR="00036842" w:rsidRPr="00036842" w:rsidRDefault="00036842" w:rsidP="00036842">
      <w:r w:rsidRPr="00036842">
        <w:t>UI Agent — renders context-appropriate visualizations based on user intent</w:t>
      </w:r>
    </w:p>
    <w:p w14:paraId="3E998461" w14:textId="77777777" w:rsidR="00036842" w:rsidRPr="00036842" w:rsidRDefault="00036842" w:rsidP="00036842"/>
    <w:p w14:paraId="22786444" w14:textId="77777777" w:rsidR="00036842" w:rsidRPr="00036842" w:rsidRDefault="00036842" w:rsidP="00036842">
      <w:r w:rsidRPr="00036842">
        <w:t>The governance model: It defines autonomy levels (Level 0: read-only assist → Level 3: supervised autonomous execution), a Plan-Act-Reflect loop, human-in-the-loop for risk-bearing decisions, and a Policy Engine with circuit breakers.</w:t>
      </w:r>
    </w:p>
    <w:p w14:paraId="7FAB552C" w14:textId="77777777" w:rsidR="00036842" w:rsidRPr="00036842" w:rsidRDefault="00036842" w:rsidP="00036842"/>
    <w:p w14:paraId="6AEF7C55" w14:textId="77777777" w:rsidR="00036842" w:rsidRPr="00036842" w:rsidRDefault="00036842" w:rsidP="00036842">
      <w:r w:rsidRPr="00036842">
        <w:lastRenderedPageBreak/>
        <w:t>Key architectural components: Agent Orchestrator (manages handoffs between agents), Policy Engine (guardrails), Observation Store (long-term memory for learning).</w:t>
      </w:r>
    </w:p>
    <w:p w14:paraId="0081B2C2" w14:textId="77777777" w:rsidR="00036842" w:rsidRPr="00036842" w:rsidRDefault="00036842" w:rsidP="00036842"/>
    <w:p w14:paraId="0AB362EB" w14:textId="77777777" w:rsidR="00036842" w:rsidRPr="00036842" w:rsidRDefault="00036842" w:rsidP="00036842">
      <w:r w:rsidRPr="00036842">
        <w:t>How it fits into our conversation</w:t>
      </w:r>
    </w:p>
    <w:p w14:paraId="1EE68BD2" w14:textId="77777777" w:rsidR="00036842" w:rsidRPr="00036842" w:rsidRDefault="00036842" w:rsidP="00036842"/>
    <w:p w14:paraId="0D8EA9FB" w14:textId="77777777" w:rsidR="00036842" w:rsidRPr="00036842" w:rsidRDefault="00036842" w:rsidP="00036842">
      <w:r w:rsidRPr="00036842">
        <w:t>This document is the forest. Our CDM mapping agent is one tree in that forest — but it's a foundational one.</w:t>
      </w:r>
    </w:p>
    <w:p w14:paraId="351BC43C" w14:textId="77777777" w:rsidR="00036842" w:rsidRPr="00036842" w:rsidRDefault="00036842" w:rsidP="00036842"/>
    <w:p w14:paraId="0543FCEB" w14:textId="77777777" w:rsidR="00036842" w:rsidRPr="00036842" w:rsidRDefault="00036842" w:rsidP="00036842">
      <w:r w:rsidRPr="00036842">
        <w:t>Here's the connection: every single agent in this TP-GPT system (Trade, Pricing, Position, Sales, Operations, Settlement) needs to read and work with trade data. Right now, that data lives in fragmented legacy systems with incompatible formats — the exact problem the document names in its "Technology &amp; Data Architecture" section when it mentions TBS (primary booking system) and TDS (central data store).</w:t>
      </w:r>
    </w:p>
    <w:p w14:paraId="1C4A674D" w14:textId="77777777" w:rsidR="00036842" w:rsidRPr="00036842" w:rsidRDefault="00036842" w:rsidP="00036842"/>
    <w:p w14:paraId="6D69BF56" w14:textId="77777777" w:rsidR="00036842" w:rsidRPr="00036842" w:rsidRDefault="00036842" w:rsidP="00036842">
      <w:r w:rsidRPr="00036842">
        <w:t>The CDM mapping agent we're building is the data normalization layer that makes TP-GPT possible. Without it, each of those agents would need its own custom integration to each legacy system. With CDM as the universal language underneath, every agent reads and writes the same standardized format — and the orchestrator can hand data between agents without translation.</w:t>
      </w:r>
    </w:p>
    <w:p w14:paraId="0CDE3DF2" w14:textId="77777777" w:rsidR="00036842" w:rsidRPr="00036842" w:rsidRDefault="00036842" w:rsidP="00036842"/>
    <w:p w14:paraId="44FB13CD" w14:textId="77777777" w:rsidR="00036842" w:rsidRPr="00036842" w:rsidRDefault="00036842" w:rsidP="00036842">
      <w:r w:rsidRPr="00036842">
        <w:t>Here's how the pieces map:</w:t>
      </w:r>
    </w:p>
    <w:p w14:paraId="6F3383B9" w14:textId="77777777" w:rsidR="00036842" w:rsidRPr="00036842" w:rsidRDefault="00036842" w:rsidP="00036842"/>
    <w:p w14:paraId="265151C3" w14:textId="77777777" w:rsidR="00036842" w:rsidRPr="00036842" w:rsidRDefault="00036842" w:rsidP="00036842">
      <w:r w:rsidRPr="00036842">
        <w:t>TP-GPT Component</w:t>
      </w:r>
      <w:r w:rsidRPr="00036842">
        <w:tab/>
        <w:t>Our CDM Agent's Role</w:t>
      </w:r>
    </w:p>
    <w:p w14:paraId="18BA5B91" w14:textId="77777777" w:rsidR="00036842" w:rsidRPr="00036842" w:rsidRDefault="00036842" w:rsidP="00036842">
      <w:r w:rsidRPr="00036842">
        <w:t>Trade Agent accessing TBS/TDS</w:t>
      </w:r>
      <w:r w:rsidRPr="00036842">
        <w:tab/>
        <w:t>CDM agent normalizes TBS/TDS data into standard format the Trade Agent can read</w:t>
      </w:r>
    </w:p>
    <w:p w14:paraId="40578638" w14:textId="77777777" w:rsidR="00036842" w:rsidRPr="00036842" w:rsidRDefault="00036842" w:rsidP="00036842">
      <w:r w:rsidRPr="00036842">
        <w:t>Pricing Agent connecting to engines</w:t>
      </w:r>
      <w:r w:rsidRPr="00036842">
        <w:tab/>
        <w:t>CDM-normalized trades can be priced uniformly regardless of source system</w:t>
      </w:r>
    </w:p>
    <w:p w14:paraId="78C4E330" w14:textId="77777777" w:rsidR="00036842" w:rsidRPr="00036842" w:rsidRDefault="00036842" w:rsidP="00036842">
      <w:r w:rsidRPr="00036842">
        <w:t>Position Agent unifying inventory</w:t>
      </w:r>
      <w:r w:rsidRPr="00036842">
        <w:tab/>
        <w:t>CDM is literally what makes "unified inventory" possible — same schema across all books</w:t>
      </w:r>
    </w:p>
    <w:p w14:paraId="344CA844" w14:textId="77777777" w:rsidR="00036842" w:rsidRPr="00036842" w:rsidRDefault="00036842" w:rsidP="00036842">
      <w:r w:rsidRPr="00036842">
        <w:lastRenderedPageBreak/>
        <w:t>Operations Agent (exception management)</w:t>
      </w:r>
      <w:r w:rsidRPr="00036842">
        <w:tab/>
        <w:t>Exceptions become detectable because data is in one standard format</w:t>
      </w:r>
    </w:p>
    <w:p w14:paraId="7BE00E0B" w14:textId="77777777" w:rsidR="00036842" w:rsidRPr="00036842" w:rsidRDefault="00036842" w:rsidP="00036842">
      <w:r w:rsidRPr="00036842">
        <w:t>Settlement/Regulatory Agent (TRACE, DTCC)</w:t>
      </w:r>
      <w:r w:rsidRPr="00036842">
        <w:tab/>
        <w:t>CDM was designed specifically for regulatory reporting standardization</w:t>
      </w:r>
    </w:p>
    <w:p w14:paraId="5D87B7ED" w14:textId="77777777" w:rsidR="00036842" w:rsidRPr="00036842" w:rsidRDefault="00036842" w:rsidP="00036842">
      <w:r w:rsidRPr="00036842">
        <w:t>Critique Agent (feedback loop)</w:t>
      </w:r>
      <w:r w:rsidRPr="00036842">
        <w:tab/>
        <w:t>Directly maps to our Human Feedback / Critique Loop (Section 4.5 of our spec)</w:t>
      </w:r>
    </w:p>
    <w:p w14:paraId="3AA7E9B9" w14:textId="77777777" w:rsidR="00036842" w:rsidRPr="00036842" w:rsidRDefault="00036842" w:rsidP="00036842">
      <w:r w:rsidRPr="00036842">
        <w:t>Interoperability principle</w:t>
      </w:r>
      <w:r w:rsidRPr="00036842">
        <w:tab/>
      </w:r>
      <w:proofErr w:type="gramStart"/>
      <w:r w:rsidRPr="00036842">
        <w:t>The</w:t>
      </w:r>
      <w:proofErr w:type="gramEnd"/>
      <w:r w:rsidRPr="00036842">
        <w:t xml:space="preserve"> document says "use standard data models" — CDM IS that standard data model</w:t>
      </w:r>
    </w:p>
    <w:p w14:paraId="56BE23E4" w14:textId="77777777" w:rsidR="00036842" w:rsidRPr="00036842" w:rsidRDefault="00036842" w:rsidP="00036842">
      <w:r w:rsidRPr="00036842">
        <w:t>Observation Store</w:t>
      </w:r>
      <w:r w:rsidRPr="00036842">
        <w:tab/>
        <w:t>Maps to our Mapping Registry — long-term memory of conversions and corrections</w:t>
      </w:r>
    </w:p>
    <w:p w14:paraId="5773B8D2" w14:textId="77777777" w:rsidR="00036842" w:rsidRPr="00036842" w:rsidRDefault="00036842" w:rsidP="00036842"/>
    <w:p w14:paraId="0D8625B6" w14:textId="77777777" w:rsidR="00036842" w:rsidRPr="00036842" w:rsidRDefault="00036842" w:rsidP="00036842">
      <w:r w:rsidRPr="00036842">
        <w:t>The document also validates several design decisions we already made in the spec: the Plan-Act-Reflect loop (our validate-retry loop), human-in-the-loop (our critique UI), the autonomy levels (our agent starts at Level 0-1, mapping with human review), and the Critique Agent pattern.</w:t>
      </w:r>
    </w:p>
    <w:p w14:paraId="6E616D4A" w14:textId="77777777" w:rsidR="00036842" w:rsidRPr="00036842" w:rsidRDefault="00036842" w:rsidP="00036842"/>
    <w:p w14:paraId="2AAA963D" w14:textId="77777777" w:rsidR="00036842" w:rsidRPr="00036842" w:rsidRDefault="00036842" w:rsidP="00036842">
      <w:r w:rsidRPr="00036842">
        <w:t>In practical terms: the CDM mapping agent is Phase 0 infrastructure for the TP-GPT vision. You build the data normalization layer first, then the domain agents (Trade, Pricing, Position) can be built on top of clean, standardized data. Without it, you'd be building every agent with its own messy data integration — exactly the fragmentation problem the document is trying to solve.</w:t>
      </w:r>
    </w:p>
    <w:p w14:paraId="6D525A6E" w14:textId="77777777" w:rsidR="00036842" w:rsidRPr="00036842" w:rsidRDefault="00036842" w:rsidP="00036842"/>
    <w:p w14:paraId="194BE68F" w14:textId="0B64179D" w:rsidR="00036842" w:rsidRDefault="00036842" w:rsidP="00036842">
      <w:r w:rsidRPr="00036842">
        <w:t>Is this your document? It reads like a proposal you've written or are pitching — and if so, the spec we just created is the implementation plan for the foundational layer that makes everything else in this document work.</w:t>
      </w:r>
    </w:p>
    <w:sectPr w:rsidR="000368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42"/>
    <w:rsid w:val="00036842"/>
    <w:rsid w:val="00643336"/>
    <w:rsid w:val="00B51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CF5FF"/>
  <w15:chartTrackingRefBased/>
  <w15:docId w15:val="{9B5425AD-6C4A-4D8E-A20D-3BB9BC566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6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6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6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6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842"/>
    <w:rPr>
      <w:rFonts w:eastAsiaTheme="majorEastAsia" w:cstheme="majorBidi"/>
      <w:color w:val="272727" w:themeColor="text1" w:themeTint="D8"/>
    </w:rPr>
  </w:style>
  <w:style w:type="paragraph" w:styleId="Title">
    <w:name w:val="Title"/>
    <w:basedOn w:val="Normal"/>
    <w:next w:val="Normal"/>
    <w:link w:val="TitleChar"/>
    <w:uiPriority w:val="10"/>
    <w:qFormat/>
    <w:rsid w:val="00036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842"/>
    <w:pPr>
      <w:spacing w:before="160"/>
      <w:jc w:val="center"/>
    </w:pPr>
    <w:rPr>
      <w:i/>
      <w:iCs/>
      <w:color w:val="404040" w:themeColor="text1" w:themeTint="BF"/>
    </w:rPr>
  </w:style>
  <w:style w:type="character" w:customStyle="1" w:styleId="QuoteChar">
    <w:name w:val="Quote Char"/>
    <w:basedOn w:val="DefaultParagraphFont"/>
    <w:link w:val="Quote"/>
    <w:uiPriority w:val="29"/>
    <w:rsid w:val="00036842"/>
    <w:rPr>
      <w:i/>
      <w:iCs/>
      <w:color w:val="404040" w:themeColor="text1" w:themeTint="BF"/>
    </w:rPr>
  </w:style>
  <w:style w:type="paragraph" w:styleId="ListParagraph">
    <w:name w:val="List Paragraph"/>
    <w:basedOn w:val="Normal"/>
    <w:uiPriority w:val="34"/>
    <w:qFormat/>
    <w:rsid w:val="00036842"/>
    <w:pPr>
      <w:ind w:left="720"/>
      <w:contextualSpacing/>
    </w:pPr>
  </w:style>
  <w:style w:type="character" w:styleId="IntenseEmphasis">
    <w:name w:val="Intense Emphasis"/>
    <w:basedOn w:val="DefaultParagraphFont"/>
    <w:uiPriority w:val="21"/>
    <w:qFormat/>
    <w:rsid w:val="00036842"/>
    <w:rPr>
      <w:i/>
      <w:iCs/>
      <w:color w:val="2F5496" w:themeColor="accent1" w:themeShade="BF"/>
    </w:rPr>
  </w:style>
  <w:style w:type="paragraph" w:styleId="IntenseQuote">
    <w:name w:val="Intense Quote"/>
    <w:basedOn w:val="Normal"/>
    <w:next w:val="Normal"/>
    <w:link w:val="IntenseQuoteChar"/>
    <w:uiPriority w:val="30"/>
    <w:qFormat/>
    <w:rsid w:val="00036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842"/>
    <w:rPr>
      <w:i/>
      <w:iCs/>
      <w:color w:val="2F5496" w:themeColor="accent1" w:themeShade="BF"/>
    </w:rPr>
  </w:style>
  <w:style w:type="character" w:styleId="IntenseReference">
    <w:name w:val="Intense Reference"/>
    <w:basedOn w:val="DefaultParagraphFont"/>
    <w:uiPriority w:val="32"/>
    <w:qFormat/>
    <w:rsid w:val="000368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1103</TotalTime>
  <Pages>3</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palle</dc:creator>
  <cp:keywords/>
  <dc:description/>
  <cp:lastModifiedBy>gayatri palle</cp:lastModifiedBy>
  <cp:revision>1</cp:revision>
  <dcterms:created xsi:type="dcterms:W3CDTF">2026-09-14T17:36:00Z</dcterms:created>
  <dcterms:modified xsi:type="dcterms:W3CDTF">2026-09-19T01:27:00Z</dcterms:modified>
</cp:coreProperties>
</file>